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4D3C48B2"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6D1E26">
        <w:t>10</w:t>
      </w:r>
      <w:r w:rsidR="00F0206C">
        <w:t>2</w:t>
      </w:r>
      <w:r w:rsidRPr="00CE0424">
        <w:tab/>
      </w:r>
      <w:r w:rsidRPr="00885367">
        <w:rPr>
          <w:sz w:val="28"/>
          <w:szCs w:val="32"/>
        </w:rPr>
        <w:t>R2-</w:t>
      </w:r>
      <w:r w:rsidR="007B00E2" w:rsidRPr="007B00E2">
        <w:rPr>
          <w:sz w:val="28"/>
          <w:szCs w:val="32"/>
        </w:rPr>
        <w:t xml:space="preserve"> 1807803</w:t>
      </w:r>
    </w:p>
    <w:p w14:paraId="363AF3C9" w14:textId="7EEE5E97" w:rsidR="009618AC" w:rsidRPr="001D74C6" w:rsidRDefault="009618AC" w:rsidP="009618AC">
      <w:pPr>
        <w:pStyle w:val="CRCoverPage"/>
        <w:outlineLvl w:val="0"/>
        <w:rPr>
          <w:b/>
          <w:noProof/>
          <w:sz w:val="24"/>
        </w:rPr>
      </w:pPr>
      <w:bookmarkStart w:id="1" w:name="_Hlk512676175"/>
      <w:r>
        <w:rPr>
          <w:b/>
          <w:noProof/>
          <w:sz w:val="24"/>
        </w:rPr>
        <w:t>Busan</w:t>
      </w:r>
      <w:r w:rsidRPr="001B5F7A">
        <w:rPr>
          <w:b/>
          <w:noProof/>
          <w:sz w:val="24"/>
        </w:rPr>
        <w:t xml:space="preserve">, </w:t>
      </w:r>
      <w:r w:rsidR="002A288D">
        <w:rPr>
          <w:b/>
          <w:noProof/>
          <w:sz w:val="24"/>
        </w:rPr>
        <w:t>Republic of</w:t>
      </w:r>
      <w:r>
        <w:rPr>
          <w:b/>
          <w:noProof/>
          <w:sz w:val="24"/>
        </w:rPr>
        <w:t xml:space="preserve"> Korea</w:t>
      </w:r>
      <w:r w:rsidRPr="001B5F7A">
        <w:rPr>
          <w:b/>
          <w:noProof/>
          <w:sz w:val="24"/>
        </w:rPr>
        <w:t xml:space="preserve">, </w:t>
      </w:r>
      <w:r>
        <w:rPr>
          <w:b/>
          <w:noProof/>
          <w:sz w:val="24"/>
        </w:rPr>
        <w:t>21</w:t>
      </w:r>
      <w:r w:rsidR="002A288D">
        <w:rPr>
          <w:b/>
          <w:noProof/>
          <w:sz w:val="24"/>
        </w:rPr>
        <w:t>st</w:t>
      </w:r>
      <w:r w:rsidRPr="001B5F7A">
        <w:rPr>
          <w:b/>
          <w:noProof/>
          <w:sz w:val="24"/>
        </w:rPr>
        <w:t>-2</w:t>
      </w:r>
      <w:r>
        <w:rPr>
          <w:b/>
          <w:noProof/>
          <w:sz w:val="24"/>
        </w:rPr>
        <w:t>5</w:t>
      </w:r>
      <w:r w:rsidR="002A288D">
        <w:rPr>
          <w:b/>
          <w:noProof/>
          <w:sz w:val="24"/>
        </w:rPr>
        <w:t>th</w:t>
      </w:r>
      <w:r w:rsidRPr="001B5F7A">
        <w:rPr>
          <w:b/>
          <w:noProof/>
          <w:sz w:val="24"/>
        </w:rPr>
        <w:t xml:space="preserve"> </w:t>
      </w:r>
      <w:r w:rsidR="002A288D">
        <w:rPr>
          <w:b/>
          <w:noProof/>
          <w:sz w:val="24"/>
        </w:rPr>
        <w:t>Ma</w:t>
      </w:r>
      <w:r>
        <w:rPr>
          <w:b/>
          <w:noProof/>
          <w:sz w:val="24"/>
        </w:rPr>
        <w:t>y</w:t>
      </w:r>
      <w:r w:rsidRPr="001B5F7A">
        <w:rPr>
          <w:b/>
          <w:noProof/>
          <w:sz w:val="24"/>
        </w:rPr>
        <w:t xml:space="preserve"> </w:t>
      </w:r>
      <w:bookmarkEnd w:id="1"/>
      <w:r>
        <w:rPr>
          <w:b/>
          <w:noProof/>
          <w:sz w:val="24"/>
        </w:rPr>
        <w:t>2018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5887B3E5" w:rsidR="00E90E49" w:rsidRPr="00CE0424" w:rsidRDefault="003D3C45" w:rsidP="00311702">
      <w:pPr>
        <w:pStyle w:val="3GPPHeader"/>
        <w:rPr>
          <w:sz w:val="22"/>
          <w:szCs w:val="22"/>
        </w:rPr>
      </w:pPr>
      <w:r>
        <w:rPr>
          <w:sz w:val="22"/>
          <w:szCs w:val="22"/>
        </w:rPr>
        <w:t>Title:</w:t>
      </w:r>
      <w:r w:rsidR="00E90E49" w:rsidRPr="00CE0424">
        <w:rPr>
          <w:sz w:val="22"/>
          <w:szCs w:val="22"/>
        </w:rPr>
        <w:tab/>
      </w:r>
      <w:r w:rsidR="00F14934" w:rsidRPr="00F14934">
        <w:rPr>
          <w:sz w:val="22"/>
        </w:rPr>
        <w:t>EDT for mobile-terminated calls</w:t>
      </w:r>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2" w:name="_Ref504493148"/>
      <w:r w:rsidRPr="00CE0424">
        <w:t>Introduction</w:t>
      </w:r>
      <w:bookmarkEnd w:id="2"/>
    </w:p>
    <w:p w14:paraId="04073E19" w14:textId="4FDFFBB4" w:rsidR="007C3DBB" w:rsidRDefault="005842CA">
      <w:pPr>
        <w:rPr>
          <w:rFonts w:cs="Arial"/>
        </w:rPr>
      </w:pPr>
      <w:r w:rsidRPr="005842CA">
        <w:rPr>
          <w:rFonts w:cs="Arial"/>
        </w:rPr>
        <w:t>In recent RAN2 meetings, significant progress has been made for early data transmission (EDT)</w:t>
      </w:r>
      <w:r w:rsidR="00C45CC0">
        <w:rPr>
          <w:rFonts w:cs="Arial"/>
        </w:rPr>
        <w:t>.</w:t>
      </w:r>
      <w:r w:rsidR="00474533">
        <w:rPr>
          <w:rFonts w:cs="Arial"/>
        </w:rPr>
        <w:t xml:space="preserve"> </w:t>
      </w:r>
      <w:r w:rsidR="007C3DBB">
        <w:rPr>
          <w:rFonts w:cs="Arial"/>
        </w:rPr>
        <w:t xml:space="preserve">EDT for mobile-originated case has mainly been considered so far. </w:t>
      </w:r>
      <w:r w:rsidR="00AA19BA">
        <w:rPr>
          <w:rFonts w:cs="Arial"/>
        </w:rPr>
        <w:t xml:space="preserve">This contribution aims to consider possibilities to have </w:t>
      </w:r>
      <w:r w:rsidR="007C3DBB">
        <w:rPr>
          <w:rFonts w:cs="Arial"/>
        </w:rPr>
        <w:t>EDT for mobile-terminated (MT) case</w:t>
      </w:r>
      <w:r w:rsidR="00AA19BA">
        <w:rPr>
          <w:rFonts w:cs="Arial"/>
        </w:rPr>
        <w:t>.</w:t>
      </w:r>
    </w:p>
    <w:p w14:paraId="48F58B77" w14:textId="6466E8AB" w:rsidR="004000E8" w:rsidRPr="00CE0424" w:rsidRDefault="004000E8" w:rsidP="00CE0424">
      <w:pPr>
        <w:pStyle w:val="Heading1"/>
      </w:pPr>
      <w:bookmarkStart w:id="3" w:name="_Ref178064866"/>
      <w:r w:rsidRPr="00CE0424">
        <w:t>Discussion</w:t>
      </w:r>
      <w:bookmarkEnd w:id="3"/>
    </w:p>
    <w:p w14:paraId="0E33214E" w14:textId="35EEECBD" w:rsidR="00CB653A" w:rsidRPr="00E11627" w:rsidRDefault="00287C08" w:rsidP="00CB653A">
      <w:pPr>
        <w:pStyle w:val="Heading2"/>
      </w:pPr>
      <w:r>
        <w:t>Condition(s) for use of EDT</w:t>
      </w:r>
    </w:p>
    <w:p w14:paraId="1185E9B7" w14:textId="0BB7282E" w:rsidR="00287C08" w:rsidRPr="0026359F" w:rsidRDefault="00AA19BA" w:rsidP="00A9559D">
      <w:pPr>
        <w:pStyle w:val="BodyText"/>
        <w:rPr>
          <w:rFonts w:cs="Arial"/>
          <w:bCs/>
        </w:rPr>
      </w:pPr>
      <w:r>
        <w:rPr>
          <w:rFonts w:cs="Arial"/>
        </w:rPr>
        <w:t xml:space="preserve">In MO case, there are conditions for the UE to initiate EDT including data size, i.e., the potential Msg3 needs to be smaller or equal to the max TB size signalled in system information. Thus, a similar </w:t>
      </w:r>
      <w:r>
        <w:rPr>
          <w:rFonts w:cs="Arial"/>
          <w:lang w:val="en-US"/>
        </w:rPr>
        <w:t>first and basic</w:t>
      </w:r>
      <w:r w:rsidRPr="00AA19BA">
        <w:rPr>
          <w:rFonts w:cs="Arial"/>
          <w:lang w:val="en-US"/>
        </w:rPr>
        <w:t xml:space="preserve"> question</w:t>
      </w:r>
      <w:r>
        <w:rPr>
          <w:rFonts w:cs="Arial"/>
          <w:lang w:val="en-US"/>
        </w:rPr>
        <w:t xml:space="preserve"> RAN2 should address is whether there is a condition for the data size for the use of </w:t>
      </w:r>
      <w:r w:rsidRPr="00AA19BA">
        <w:rPr>
          <w:rFonts w:cs="Arial"/>
          <w:lang w:val="en-US"/>
        </w:rPr>
        <w:t xml:space="preserve">EDT </w:t>
      </w:r>
      <w:r>
        <w:rPr>
          <w:rFonts w:cs="Arial"/>
          <w:lang w:val="en-US"/>
        </w:rPr>
        <w:t>in</w:t>
      </w:r>
      <w:r w:rsidRPr="00AA19BA">
        <w:rPr>
          <w:rFonts w:cs="Arial"/>
          <w:lang w:val="en-US"/>
        </w:rPr>
        <w:t xml:space="preserve"> MT </w:t>
      </w:r>
      <w:r>
        <w:rPr>
          <w:rFonts w:cs="Arial"/>
          <w:lang w:val="en-US"/>
        </w:rPr>
        <w:t>scenario.</w:t>
      </w:r>
      <w:r w:rsidR="00287C08">
        <w:rPr>
          <w:rFonts w:cs="Arial"/>
          <w:lang w:val="en-US"/>
        </w:rPr>
        <w:t xml:space="preserve"> Other conditions may be needed as well.</w:t>
      </w:r>
    </w:p>
    <w:p w14:paraId="7C91C2C1" w14:textId="526E4A39" w:rsidR="00287C08" w:rsidRDefault="00287C08" w:rsidP="00AA19BA">
      <w:pPr>
        <w:pStyle w:val="BodyText"/>
        <w:rPr>
          <w:rFonts w:cs="Arial"/>
          <w:lang w:val="en-US"/>
        </w:rPr>
      </w:pPr>
      <w:r>
        <w:rPr>
          <w:rFonts w:cs="Arial"/>
          <w:lang w:val="en-US"/>
        </w:rPr>
        <w:t>It is our understanding that the information about DL data size is not always available at the MME and eNB by the time the UE is paged.</w:t>
      </w:r>
      <w:r w:rsidR="00E70C38">
        <w:rPr>
          <w:rFonts w:cs="Arial"/>
          <w:lang w:val="en-US"/>
        </w:rPr>
        <w:t xml:space="preserve"> This is based on our observations from Rel-13 CP and UP solutions for MT data transport below:</w:t>
      </w:r>
    </w:p>
    <w:p w14:paraId="454696F5" w14:textId="77777777" w:rsidR="00E70C38" w:rsidRPr="00E70C38" w:rsidRDefault="00E70C38" w:rsidP="00E70C38">
      <w:pPr>
        <w:pStyle w:val="BodyText"/>
        <w:numPr>
          <w:ilvl w:val="0"/>
          <w:numId w:val="46"/>
        </w:numPr>
        <w:rPr>
          <w:rFonts w:cs="Arial"/>
          <w:lang w:val="en-US"/>
        </w:rPr>
      </w:pPr>
      <w:r w:rsidRPr="00E70C38">
        <w:rPr>
          <w:rFonts w:cs="Arial"/>
          <w:lang w:val="en-US"/>
        </w:rPr>
        <w:t>In Rel-13 CP, MME may receive DL data from S-GW during the service request procedure, i.e., after Msg5. The MME then decides whether to have DL NAS PDU in the Downlink S1-AP message in response to a S1-AP Initial UE message with NAS Control Plane Service Request. This happens after paging procedures, as in steps 10, 13 in Fig. 5.3.4B-1 in TS23.401 below.</w:t>
      </w:r>
    </w:p>
    <w:p w14:paraId="40AD1DAE" w14:textId="2D0068B2" w:rsidR="00E70C38" w:rsidRPr="00560866" w:rsidRDefault="00E70C38" w:rsidP="002E0597">
      <w:pPr>
        <w:pStyle w:val="BodyText"/>
        <w:numPr>
          <w:ilvl w:val="0"/>
          <w:numId w:val="46"/>
        </w:numPr>
        <w:rPr>
          <w:rFonts w:cs="Arial"/>
          <w:lang w:val="en-US"/>
        </w:rPr>
      </w:pPr>
      <w:r w:rsidRPr="00560866">
        <w:rPr>
          <w:rFonts w:cs="Arial"/>
          <w:lang w:val="en-US"/>
        </w:rPr>
        <w:t>In Rel-13 UP, eNB receives DL data from S-GW for DL transmission to UE after the service request procedure is completed, i.e., after Msg5. This happens far after paging procedures, i.e., after step 6 in Fig. 5.3.4-1 in TS23.401 below.</w:t>
      </w:r>
    </w:p>
    <w:p w14:paraId="6C2244AC" w14:textId="034A37D3" w:rsidR="00E70C38" w:rsidRDefault="00E70C38" w:rsidP="00AA19BA">
      <w:pPr>
        <w:pStyle w:val="BodyText"/>
        <w:rPr>
          <w:rFonts w:cs="Arial"/>
        </w:rPr>
      </w:pPr>
    </w:p>
    <w:bookmarkStart w:id="4" w:name="_MON_1541836112"/>
    <w:bookmarkEnd w:id="4"/>
    <w:p w14:paraId="10E665EA" w14:textId="77777777" w:rsidR="00560866" w:rsidRPr="00990165" w:rsidRDefault="00560866" w:rsidP="00560866">
      <w:pPr>
        <w:pStyle w:val="TH"/>
      </w:pPr>
      <w:r w:rsidRPr="00990165">
        <w:object w:dxaOrig="9628" w:dyaOrig="7662" w14:anchorId="7696C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380.95pt" o:ole="">
            <v:imagedata r:id="rId12" o:title=""/>
          </v:shape>
          <o:OLEObject Type="Embed" ProgID="Word.Picture.8" ShapeID="_x0000_i1025" DrawAspect="Content" ObjectID="_1587534943" r:id="rId13"/>
        </w:object>
      </w:r>
    </w:p>
    <w:p w14:paraId="71E0722F" w14:textId="21CAB933" w:rsidR="00560866" w:rsidRPr="00990165" w:rsidRDefault="00560866" w:rsidP="00560866">
      <w:pPr>
        <w:pStyle w:val="TF"/>
      </w:pPr>
      <w:r w:rsidRPr="00990165">
        <w:t>Figure 5.3.4B.2-1: MO Data transport in NAS PDU</w:t>
      </w:r>
      <w:r>
        <w:t xml:space="preserve"> (Adopted from TS23.401)</w:t>
      </w:r>
    </w:p>
    <w:bookmarkStart w:id="5" w:name="_MON_1303769170"/>
    <w:bookmarkEnd w:id="5"/>
    <w:p w14:paraId="0A43B0CE" w14:textId="6FD0B386" w:rsidR="00560866" w:rsidRPr="00990165" w:rsidRDefault="00560866" w:rsidP="00560866">
      <w:pPr>
        <w:pStyle w:val="TH"/>
      </w:pPr>
      <w:r w:rsidRPr="00990165">
        <w:object w:dxaOrig="9194" w:dyaOrig="5009" w14:anchorId="7037083B">
          <v:shape id="_x0000_i1026" type="#_x0000_t75" style="width:399.75pt;height:218.15pt" o:ole="">
            <v:imagedata r:id="rId14" o:title=""/>
          </v:shape>
          <o:OLEObject Type="Embed" ProgID="Word.Picture.8" ShapeID="_x0000_i1026" DrawAspect="Content" ObjectID="_1587534944" r:id="rId15"/>
        </w:object>
      </w:r>
    </w:p>
    <w:p w14:paraId="61E27B91" w14:textId="4233933B" w:rsidR="00560866" w:rsidRPr="00990165" w:rsidRDefault="00560866" w:rsidP="00560866">
      <w:pPr>
        <w:pStyle w:val="TF"/>
      </w:pPr>
      <w:r w:rsidRPr="00990165">
        <w:t>Figure 5.3.4.3-1: Network triggered Service Request procedure</w:t>
      </w:r>
      <w:r>
        <w:t xml:space="preserve"> (Adopted from TS23.401)</w:t>
      </w:r>
    </w:p>
    <w:p w14:paraId="514C48EE" w14:textId="77777777" w:rsidR="00560866" w:rsidRPr="00E70C38" w:rsidRDefault="00560866" w:rsidP="00AA19BA">
      <w:pPr>
        <w:pStyle w:val="BodyText"/>
        <w:rPr>
          <w:rFonts w:cs="Arial"/>
        </w:rPr>
      </w:pPr>
    </w:p>
    <w:p w14:paraId="78645770" w14:textId="36B83C7E" w:rsidR="00560866" w:rsidRDefault="00560866" w:rsidP="00560866">
      <w:pPr>
        <w:pStyle w:val="Observation"/>
        <w:rPr>
          <w:lang w:val="en-US"/>
        </w:rPr>
      </w:pPr>
      <w:bookmarkStart w:id="6" w:name="_Toc513740825"/>
      <w:r>
        <w:rPr>
          <w:lang w:val="en-US"/>
        </w:rPr>
        <w:t>By the time the UE is paged, the eNB and MME do not always know DL data size.</w:t>
      </w:r>
      <w:bookmarkEnd w:id="6"/>
    </w:p>
    <w:p w14:paraId="1EF9D0D1" w14:textId="13243702" w:rsidR="00A475F9" w:rsidRDefault="00A475F9" w:rsidP="00AA19BA">
      <w:pPr>
        <w:pStyle w:val="BodyText"/>
        <w:rPr>
          <w:rFonts w:cs="Arial"/>
          <w:lang w:val="en-US"/>
        </w:rPr>
      </w:pPr>
      <w:r>
        <w:rPr>
          <w:rFonts w:cs="Arial"/>
          <w:lang w:val="en-US"/>
        </w:rPr>
        <w:lastRenderedPageBreak/>
        <w:t>Thus, we believe that it is not practical to have such a data size check as a condition for initiating EDT in MT scenario.</w:t>
      </w:r>
      <w:r w:rsidR="00C12563">
        <w:rPr>
          <w:rFonts w:cs="Arial"/>
          <w:lang w:val="en-US"/>
        </w:rPr>
        <w:t xml:space="preserve"> And given that EDT is beneficial for MT case irrespective of DL data size in the first DL transmission, EDT should be supported without any restriction on DL data size.</w:t>
      </w:r>
      <w:r w:rsidR="00F148E6">
        <w:rPr>
          <w:rFonts w:cs="Arial"/>
          <w:lang w:val="en-US"/>
        </w:rPr>
        <w:t xml:space="preserve"> As detailed in the following, </w:t>
      </w:r>
      <w:r w:rsidR="00604E95">
        <w:rPr>
          <w:rFonts w:cs="Arial"/>
          <w:lang w:val="en-US"/>
        </w:rPr>
        <w:t>EDT for MT calls</w:t>
      </w:r>
      <w:r w:rsidR="007F4553">
        <w:rPr>
          <w:rFonts w:cs="Arial"/>
          <w:lang w:val="en-US"/>
        </w:rPr>
        <w:t xml:space="preserve"> does not require UE to use EDT resources</w:t>
      </w:r>
      <w:r w:rsidR="00476847">
        <w:rPr>
          <w:rFonts w:cs="Arial"/>
          <w:lang w:val="en-US"/>
        </w:rPr>
        <w:t>.</w:t>
      </w:r>
    </w:p>
    <w:p w14:paraId="6F5F04DE" w14:textId="77777777" w:rsidR="00476847" w:rsidRDefault="00476847" w:rsidP="00AA19BA">
      <w:pPr>
        <w:pStyle w:val="BodyText"/>
        <w:rPr>
          <w:rFonts w:cs="Arial"/>
          <w:lang w:val="en-US"/>
        </w:rPr>
      </w:pPr>
    </w:p>
    <w:p w14:paraId="54AD51E6" w14:textId="233C978B" w:rsidR="00A475F9" w:rsidRPr="00A320F7" w:rsidRDefault="00A475F9" w:rsidP="00A475F9">
      <w:pPr>
        <w:pStyle w:val="Proposal"/>
        <w:tabs>
          <w:tab w:val="clear" w:pos="1304"/>
          <w:tab w:val="num" w:pos="1701"/>
        </w:tabs>
        <w:ind w:left="1701" w:hanging="1701"/>
        <w:rPr>
          <w:rFonts w:cs="Arial"/>
          <w:bCs w:val="0"/>
        </w:rPr>
      </w:pPr>
      <w:bookmarkStart w:id="7" w:name="_Toc513740821"/>
      <w:r>
        <w:t xml:space="preserve">EDT for MT </w:t>
      </w:r>
      <w:r w:rsidR="00604E95">
        <w:t>calls</w:t>
      </w:r>
      <w:r>
        <w:t xml:space="preserve"> is supported without a restriction on DL data size</w:t>
      </w:r>
      <w:r w:rsidRPr="0026359F">
        <w:t>.</w:t>
      </w:r>
      <w:bookmarkEnd w:id="7"/>
    </w:p>
    <w:p w14:paraId="659CF0FD" w14:textId="77777777" w:rsidR="00A320F7" w:rsidRDefault="00A320F7" w:rsidP="00A320F7">
      <w:pPr>
        <w:pStyle w:val="BodyText"/>
        <w:rPr>
          <w:rFonts w:cs="Arial"/>
        </w:rPr>
      </w:pPr>
    </w:p>
    <w:p w14:paraId="2F0ADCC3" w14:textId="3C5F2C36" w:rsidR="00DB08A1" w:rsidRDefault="00A320F7" w:rsidP="00A320F7">
      <w:pPr>
        <w:pStyle w:val="BodyText"/>
        <w:rPr>
          <w:rFonts w:cs="Arial"/>
        </w:rPr>
      </w:pPr>
      <w:r>
        <w:rPr>
          <w:rFonts w:cs="Arial"/>
        </w:rPr>
        <w:t>In both CP and UP solution</w:t>
      </w:r>
      <w:r w:rsidR="00EF3DB5">
        <w:rPr>
          <w:rFonts w:cs="Arial"/>
        </w:rPr>
        <w:t>s</w:t>
      </w:r>
      <w:r>
        <w:rPr>
          <w:rFonts w:cs="Arial"/>
        </w:rPr>
        <w:t xml:space="preserve">, </w:t>
      </w:r>
      <w:r w:rsidR="00EF3DB5">
        <w:rPr>
          <w:rFonts w:cs="Arial"/>
        </w:rPr>
        <w:t>in our view, without a</w:t>
      </w:r>
      <w:r w:rsidR="00B41510">
        <w:rPr>
          <w:rFonts w:cs="Arial"/>
        </w:rPr>
        <w:t xml:space="preserve"> realistic</w:t>
      </w:r>
      <w:r w:rsidR="008149A2">
        <w:rPr>
          <w:rFonts w:cs="Arial"/>
        </w:rPr>
        <w:t xml:space="preserve"> indication from network, </w:t>
      </w:r>
      <w:r w:rsidR="00B41510">
        <w:rPr>
          <w:rFonts w:cs="Arial"/>
        </w:rPr>
        <w:t xml:space="preserve">it is not possible </w:t>
      </w:r>
      <w:r w:rsidR="008149A2">
        <w:rPr>
          <w:rFonts w:cs="Arial"/>
        </w:rPr>
        <w:t>for the UE to indicate EDT in Msg1</w:t>
      </w:r>
      <w:r w:rsidR="007720B8">
        <w:rPr>
          <w:rFonts w:cs="Arial"/>
        </w:rPr>
        <w:t>.</w:t>
      </w:r>
      <w:r w:rsidR="004558CA">
        <w:rPr>
          <w:rFonts w:cs="Arial"/>
        </w:rPr>
        <w:t xml:space="preserve"> In other words, we believe that </w:t>
      </w:r>
      <w:r w:rsidR="00CE0D26">
        <w:rPr>
          <w:rFonts w:cs="Arial"/>
        </w:rPr>
        <w:t>EDT for MT calls cannot rely on EDT solution for MO calls.</w:t>
      </w:r>
      <w:r w:rsidR="007720B8">
        <w:rPr>
          <w:rFonts w:cs="Arial"/>
        </w:rPr>
        <w:t xml:space="preserve"> In fact, there is no need for the UE to select</w:t>
      </w:r>
      <w:r w:rsidR="004558CA">
        <w:rPr>
          <w:rFonts w:cs="Arial"/>
        </w:rPr>
        <w:t xml:space="preserve"> EDT preamble</w:t>
      </w:r>
      <w:r w:rsidR="008149A2">
        <w:rPr>
          <w:rFonts w:cs="Arial"/>
        </w:rPr>
        <w:t xml:space="preserve"> and no need </w:t>
      </w:r>
      <w:r w:rsidR="007F1EBE">
        <w:rPr>
          <w:rFonts w:cs="Arial"/>
        </w:rPr>
        <w:t>for the network to allocate EDT UL grant in Msg2</w:t>
      </w:r>
      <w:r w:rsidR="00002F52">
        <w:rPr>
          <w:rFonts w:cs="Arial"/>
        </w:rPr>
        <w:t xml:space="preserve"> as well</w:t>
      </w:r>
      <w:r w:rsidR="007F1EBE">
        <w:rPr>
          <w:rFonts w:cs="Arial"/>
        </w:rPr>
        <w:t xml:space="preserve">. It is assumed that </w:t>
      </w:r>
      <w:r w:rsidRPr="005350D5">
        <w:rPr>
          <w:rFonts w:cs="Arial"/>
        </w:rPr>
        <w:t>the system</w:t>
      </w:r>
      <w:r>
        <w:rPr>
          <w:rFonts w:cs="Arial"/>
        </w:rPr>
        <w:t xml:space="preserve"> can</w:t>
      </w:r>
      <w:r w:rsidRPr="005350D5">
        <w:rPr>
          <w:rFonts w:cs="Arial"/>
        </w:rPr>
        <w:t xml:space="preserve"> operate as per legacy in Msg1 and </w:t>
      </w:r>
      <w:r>
        <w:rPr>
          <w:rFonts w:cs="Arial"/>
        </w:rPr>
        <w:t>Msg2, i.e.,</w:t>
      </w:r>
      <w:r w:rsidRPr="005350D5">
        <w:rPr>
          <w:rFonts w:cs="Arial"/>
        </w:rPr>
        <w:t xml:space="preserve"> the network does not need to provide unnecessary </w:t>
      </w:r>
      <w:r>
        <w:rPr>
          <w:rFonts w:cs="Arial"/>
        </w:rPr>
        <w:t xml:space="preserve">EDT UL </w:t>
      </w:r>
      <w:r w:rsidRPr="005350D5">
        <w:rPr>
          <w:rFonts w:cs="Arial"/>
        </w:rPr>
        <w:t xml:space="preserve">grant </w:t>
      </w:r>
      <w:r>
        <w:rPr>
          <w:rFonts w:cs="Arial"/>
        </w:rPr>
        <w:t>in Msg2</w:t>
      </w:r>
      <w:r w:rsidRPr="005350D5">
        <w:rPr>
          <w:rFonts w:cs="Arial"/>
        </w:rPr>
        <w:t>.</w:t>
      </w:r>
      <w:r w:rsidR="000307CA">
        <w:rPr>
          <w:rFonts w:cs="Arial"/>
        </w:rPr>
        <w:t xml:space="preserve"> As detailed in the next sections, depending on </w:t>
      </w:r>
      <w:r w:rsidR="00F91A96">
        <w:rPr>
          <w:rFonts w:cs="Arial"/>
        </w:rPr>
        <w:t xml:space="preserve">EDT solution, i.e., CP or UP, </w:t>
      </w:r>
      <w:r w:rsidR="00275288">
        <w:rPr>
          <w:rFonts w:cs="Arial"/>
        </w:rPr>
        <w:t xml:space="preserve">UE and network’s behaviour </w:t>
      </w:r>
      <w:r w:rsidR="001A147A">
        <w:rPr>
          <w:rFonts w:cs="Arial"/>
        </w:rPr>
        <w:t xml:space="preserve">related to Msg3 and Msg4 are </w:t>
      </w:r>
      <w:r w:rsidR="00525865">
        <w:rPr>
          <w:rFonts w:cs="Arial"/>
        </w:rPr>
        <w:t>different.</w:t>
      </w:r>
    </w:p>
    <w:p w14:paraId="38D6FDC6" w14:textId="1D2BFD23" w:rsidR="00A320F7" w:rsidRPr="00817414" w:rsidRDefault="00CF31DA" w:rsidP="00A320F7">
      <w:pPr>
        <w:pStyle w:val="Proposal"/>
        <w:tabs>
          <w:tab w:val="clear" w:pos="1304"/>
          <w:tab w:val="num" w:pos="1701"/>
        </w:tabs>
        <w:ind w:left="1701" w:hanging="1701"/>
        <w:rPr>
          <w:rFonts w:cs="Arial"/>
          <w:bCs w:val="0"/>
        </w:rPr>
      </w:pPr>
      <w:bookmarkStart w:id="8" w:name="_Toc497687708"/>
      <w:bookmarkStart w:id="9" w:name="_Toc497688967"/>
      <w:bookmarkStart w:id="10" w:name="_Toc497689776"/>
      <w:bookmarkStart w:id="11" w:name="_Toc497689813"/>
      <w:bookmarkStart w:id="12" w:name="_Toc497743801"/>
      <w:bookmarkStart w:id="13" w:name="_Toc497743832"/>
      <w:bookmarkStart w:id="14" w:name="_Toc497743856"/>
      <w:bookmarkStart w:id="15" w:name="_Toc497743911"/>
      <w:bookmarkStart w:id="16" w:name="_Toc497744544"/>
      <w:bookmarkStart w:id="17" w:name="_Ref498092161"/>
      <w:bookmarkStart w:id="18" w:name="_Toc498092226"/>
      <w:bookmarkStart w:id="19" w:name="_Toc498095748"/>
      <w:bookmarkStart w:id="20" w:name="_Toc498096063"/>
      <w:bookmarkStart w:id="21" w:name="_Toc498096128"/>
      <w:bookmarkStart w:id="22" w:name="_Toc498096190"/>
      <w:bookmarkStart w:id="23" w:name="_Toc498096866"/>
      <w:bookmarkStart w:id="24" w:name="_Toc498096984"/>
      <w:bookmarkStart w:id="25" w:name="_Toc498097245"/>
      <w:bookmarkStart w:id="26" w:name="_Toc498351213"/>
      <w:bookmarkStart w:id="27" w:name="_Toc498352248"/>
      <w:bookmarkStart w:id="28" w:name="_Toc498527528"/>
      <w:bookmarkStart w:id="29" w:name="_Toc498531506"/>
      <w:bookmarkStart w:id="30" w:name="_Toc498531714"/>
      <w:bookmarkStart w:id="31" w:name="_Toc498537991"/>
      <w:bookmarkStart w:id="32" w:name="_Toc498538019"/>
      <w:bookmarkStart w:id="33" w:name="_Toc498592584"/>
      <w:bookmarkStart w:id="34" w:name="_Toc498592611"/>
      <w:bookmarkStart w:id="35" w:name="_Toc498593201"/>
      <w:bookmarkStart w:id="36" w:name="_Toc498593305"/>
      <w:bookmarkStart w:id="37" w:name="_Toc498593470"/>
      <w:bookmarkStart w:id="38" w:name="_Toc498593532"/>
      <w:bookmarkStart w:id="39" w:name="_Toc498593560"/>
      <w:bookmarkStart w:id="40" w:name="_Toc498593686"/>
      <w:bookmarkStart w:id="41" w:name="_Toc498593862"/>
      <w:bookmarkStart w:id="42" w:name="_Toc498594035"/>
      <w:bookmarkStart w:id="43" w:name="_Toc498594057"/>
      <w:bookmarkStart w:id="44" w:name="_Toc498595026"/>
      <w:bookmarkStart w:id="45" w:name="_Toc498609204"/>
      <w:bookmarkStart w:id="46" w:name="_Toc498609231"/>
      <w:bookmarkStart w:id="47" w:name="_Toc498618143"/>
      <w:bookmarkStart w:id="48" w:name="_Toc498618628"/>
      <w:bookmarkStart w:id="49" w:name="_Toc498638600"/>
      <w:bookmarkStart w:id="50" w:name="_Toc498638684"/>
      <w:bookmarkStart w:id="51" w:name="_Toc498644614"/>
      <w:bookmarkStart w:id="52" w:name="_Toc498652189"/>
      <w:bookmarkStart w:id="53" w:name="_Toc498661961"/>
      <w:bookmarkStart w:id="54" w:name="_Toc505092552"/>
      <w:bookmarkStart w:id="55" w:name="_Toc510629335"/>
      <w:bookmarkStart w:id="56" w:name="_Toc510701089"/>
      <w:bookmarkStart w:id="57" w:name="_Toc513740822"/>
      <w:r>
        <w:rPr>
          <w:lang w:val="en-US"/>
        </w:rPr>
        <w:t>In both UP and CP EDT solutions for MT calls</w:t>
      </w:r>
      <w:r w:rsidR="00A320F7">
        <w:t xml:space="preserve">, the UE shall not indicate EDT in Msg1 </w:t>
      </w:r>
      <w:r w:rsidR="000976E2">
        <w:t>and network does not provide EDT UL grant in Msg2</w:t>
      </w:r>
      <w:r w:rsidR="00A320F7" w:rsidRPr="0026359F">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1541B2A" w14:textId="3840EE5D" w:rsidR="00825AEC" w:rsidRPr="00E11627" w:rsidRDefault="00825AEC" w:rsidP="00825AEC">
      <w:pPr>
        <w:pStyle w:val="Heading2"/>
      </w:pPr>
      <w:r>
        <w:t>UP EDT for MT calls</w:t>
      </w:r>
    </w:p>
    <w:p w14:paraId="6BE17961" w14:textId="264BD2C1" w:rsidR="00287C08" w:rsidRDefault="00017AFD" w:rsidP="00AA19BA">
      <w:pPr>
        <w:pStyle w:val="BodyText"/>
        <w:rPr>
          <w:rFonts w:cs="Arial"/>
        </w:rPr>
      </w:pPr>
      <w:r>
        <w:rPr>
          <w:rFonts w:cs="Arial"/>
        </w:rPr>
        <w:t>It has been agreed that in UP solution, the UE with an NCC provided in the preceding suspend procedure can initiate EDT.</w:t>
      </w:r>
      <w:r w:rsidR="00ED5696">
        <w:rPr>
          <w:rFonts w:cs="Arial"/>
        </w:rPr>
        <w:t xml:space="preserve"> In UP EDT for MT case,</w:t>
      </w:r>
      <w:r>
        <w:rPr>
          <w:rFonts w:cs="Arial"/>
        </w:rPr>
        <w:t xml:space="preserve"> </w:t>
      </w:r>
      <w:r w:rsidR="00122514" w:rsidRPr="00A27AC6">
        <w:rPr>
          <w:rFonts w:cs="Arial"/>
        </w:rPr>
        <w:t xml:space="preserve">it would not be possible for the network to provide the data in Msg4 even if the network knows that the UE supports EDT (after Msg3) since the UE would not have restored the UE context, reactivated security, and re-established/resumed all SRBs/DRBs. This does not necessarily mean that the UE </w:t>
      </w:r>
      <w:r w:rsidR="002C3DBF" w:rsidRPr="00A27AC6">
        <w:rPr>
          <w:rFonts w:cs="Arial"/>
        </w:rPr>
        <w:t xml:space="preserve">without UL data </w:t>
      </w:r>
      <w:r w:rsidR="00122514" w:rsidRPr="00A27AC6">
        <w:rPr>
          <w:rFonts w:cs="Arial"/>
        </w:rPr>
        <w:t xml:space="preserve">would need to trigger EDT </w:t>
      </w:r>
      <w:r w:rsidR="00A353EC" w:rsidRPr="00A27AC6">
        <w:rPr>
          <w:rFonts w:cs="Arial"/>
        </w:rPr>
        <w:t>as in the MO case</w:t>
      </w:r>
      <w:r w:rsidR="00122514" w:rsidRPr="00A27AC6">
        <w:rPr>
          <w:rFonts w:cs="Arial"/>
        </w:rPr>
        <w:t xml:space="preserve">. </w:t>
      </w:r>
      <w:r w:rsidR="003E0298" w:rsidRPr="00A27AC6">
        <w:rPr>
          <w:rFonts w:cs="Arial"/>
        </w:rPr>
        <w:t xml:space="preserve">In our view, </w:t>
      </w:r>
      <w:r>
        <w:rPr>
          <w:rFonts w:cs="Arial"/>
        </w:rPr>
        <w:t xml:space="preserve">the UE needs to prepare itself with steps before Msg3 transmission including </w:t>
      </w:r>
      <w:r w:rsidR="00D309E8">
        <w:rPr>
          <w:rFonts w:cs="Arial"/>
        </w:rPr>
        <w:t xml:space="preserve">context restoration, </w:t>
      </w:r>
      <w:r>
        <w:rPr>
          <w:rFonts w:cs="Arial"/>
        </w:rPr>
        <w:t xml:space="preserve">security re-activation, bearer resumption. Since the network does not know </w:t>
      </w:r>
      <w:r w:rsidR="00A016CB">
        <w:rPr>
          <w:rFonts w:cs="Arial"/>
        </w:rPr>
        <w:t xml:space="preserve">itself </w:t>
      </w:r>
      <w:r>
        <w:rPr>
          <w:rFonts w:cs="Arial"/>
        </w:rPr>
        <w:t>if it wants to have early data in Msg4 when paging a UE, there is no indication from network to let UE know whether it needs to prepare itself for receiving Msg4 with data in MT case. In our view,</w:t>
      </w:r>
      <w:r w:rsidR="0044325E">
        <w:rPr>
          <w:rFonts w:cs="Arial"/>
        </w:rPr>
        <w:t xml:space="preserve"> a</w:t>
      </w:r>
      <w:r>
        <w:rPr>
          <w:rFonts w:cs="Arial"/>
        </w:rPr>
        <w:t xml:space="preserve"> UE w</w:t>
      </w:r>
      <w:r w:rsidR="0044325E">
        <w:rPr>
          <w:rFonts w:cs="Arial"/>
        </w:rPr>
        <w:t xml:space="preserve">ith a NCC provided during suspend procedure </w:t>
      </w:r>
      <w:r w:rsidR="00A016CB">
        <w:rPr>
          <w:rFonts w:cs="Arial"/>
        </w:rPr>
        <w:t xml:space="preserve">should </w:t>
      </w:r>
      <w:r w:rsidR="0044325E">
        <w:rPr>
          <w:rFonts w:cs="Arial"/>
        </w:rPr>
        <w:t>always restore context, reactivate security, and perform security-related actions before Msg3 transmission</w:t>
      </w:r>
      <w:r w:rsidR="000054E4">
        <w:rPr>
          <w:rFonts w:cs="Arial"/>
        </w:rPr>
        <w:t xml:space="preserve">. </w:t>
      </w:r>
      <w:r w:rsidR="00792CD4">
        <w:rPr>
          <w:rFonts w:cs="Arial"/>
        </w:rPr>
        <w:t xml:space="preserve">With this, the </w:t>
      </w:r>
      <w:r w:rsidR="00C461A6">
        <w:rPr>
          <w:rFonts w:cs="Arial"/>
        </w:rPr>
        <w:t>eNB knows that the UE</w:t>
      </w:r>
      <w:r w:rsidR="0044325E">
        <w:rPr>
          <w:rFonts w:cs="Arial"/>
        </w:rPr>
        <w:t xml:space="preserve"> is always ready to receive Msg4 with DL data. Thus, it is proposed that any UE with NCC provided during suspend procedure should prepare itself with early bearer resumption and security activation for receiving a EDT Msg4.</w:t>
      </w:r>
    </w:p>
    <w:p w14:paraId="524C66A1" w14:textId="4513553F" w:rsidR="00017AFD" w:rsidRDefault="00017AFD" w:rsidP="00CC2841">
      <w:pPr>
        <w:pStyle w:val="Observation"/>
        <w:ind w:left="1710" w:hanging="1710"/>
        <w:rPr>
          <w:lang w:val="en-US"/>
        </w:rPr>
      </w:pPr>
      <w:bookmarkStart w:id="58" w:name="_Toc513740826"/>
      <w:r>
        <w:rPr>
          <w:lang w:val="en-US"/>
        </w:rPr>
        <w:t>In UP solution, the UE needs to prepare itself with security and bearer reactivation/resumption for receiving a</w:t>
      </w:r>
      <w:r w:rsidR="00003202">
        <w:rPr>
          <w:lang w:val="en-US"/>
        </w:rPr>
        <w:t>n encrypted</w:t>
      </w:r>
      <w:r>
        <w:rPr>
          <w:lang w:val="en-US"/>
        </w:rPr>
        <w:t xml:space="preserve"> Msg4 with DL data</w:t>
      </w:r>
      <w:bookmarkEnd w:id="58"/>
    </w:p>
    <w:p w14:paraId="1A5FD6F1" w14:textId="6001563F" w:rsidR="009B4D8D" w:rsidRPr="009B4D8D" w:rsidRDefault="00537326" w:rsidP="0044325E">
      <w:pPr>
        <w:pStyle w:val="Proposal"/>
        <w:tabs>
          <w:tab w:val="clear" w:pos="1304"/>
          <w:tab w:val="num" w:pos="1701"/>
        </w:tabs>
        <w:ind w:left="1701" w:hanging="1701"/>
        <w:rPr>
          <w:rFonts w:cs="Arial"/>
        </w:rPr>
      </w:pPr>
      <w:bookmarkStart w:id="59" w:name="_Toc510701091"/>
      <w:bookmarkStart w:id="60" w:name="_Ref513740708"/>
      <w:bookmarkStart w:id="61" w:name="_Toc513740823"/>
      <w:r>
        <w:t>I</w:t>
      </w:r>
      <w:r w:rsidR="0044325E">
        <w:t>f the UE was provided with the NCC during suspend procedure, it shall restore context, reactivate security, resume bearers, and derive AS keys before transmission of Msg3 without UL data</w:t>
      </w:r>
      <w:r w:rsidR="0044325E" w:rsidRPr="0026359F">
        <w:t>.</w:t>
      </w:r>
      <w:bookmarkEnd w:id="59"/>
      <w:bookmarkEnd w:id="60"/>
      <w:bookmarkEnd w:id="61"/>
    </w:p>
    <w:p w14:paraId="69C59744" w14:textId="13E5C493" w:rsidR="009B4D8D" w:rsidRDefault="009B4D8D" w:rsidP="009B4D8D">
      <w:pPr>
        <w:pStyle w:val="Observation"/>
        <w:ind w:left="1710" w:hanging="1710"/>
        <w:rPr>
          <w:lang w:val="en-US"/>
        </w:rPr>
      </w:pPr>
      <w:bookmarkStart w:id="62" w:name="_Toc513740827"/>
      <w:r>
        <w:rPr>
          <w:lang w:val="en-US"/>
        </w:rPr>
        <w:t xml:space="preserve">If </w:t>
      </w:r>
      <w:r>
        <w:rPr>
          <w:lang w:val="en-US"/>
        </w:rPr>
        <w:fldChar w:fldCharType="begin"/>
      </w:r>
      <w:r>
        <w:rPr>
          <w:lang w:val="en-US"/>
        </w:rPr>
        <w:instrText xml:space="preserve"> REF _Ref513740708 \n \h </w:instrText>
      </w:r>
      <w:r>
        <w:rPr>
          <w:lang w:val="en-US"/>
        </w:rPr>
      </w:r>
      <w:r>
        <w:rPr>
          <w:lang w:val="en-US"/>
        </w:rPr>
        <w:fldChar w:fldCharType="separate"/>
      </w:r>
      <w:r>
        <w:rPr>
          <w:lang w:val="en-US"/>
        </w:rPr>
        <w:t>Proposal 3</w:t>
      </w:r>
      <w:r>
        <w:rPr>
          <w:lang w:val="en-US"/>
        </w:rPr>
        <w:fldChar w:fldCharType="end"/>
      </w:r>
      <w:r>
        <w:rPr>
          <w:lang w:val="en-US"/>
        </w:rPr>
        <w:t xml:space="preserve"> is agreed, </w:t>
      </w:r>
      <w:r w:rsidR="005576B9">
        <w:rPr>
          <w:lang w:val="en-US"/>
        </w:rPr>
        <w:t xml:space="preserve">UP EDT for </w:t>
      </w:r>
      <w:r w:rsidR="00F915BD">
        <w:rPr>
          <w:lang w:val="en-US"/>
        </w:rPr>
        <w:t xml:space="preserve">MT </w:t>
      </w:r>
      <w:r w:rsidR="00604E95">
        <w:rPr>
          <w:lang w:val="en-US"/>
        </w:rPr>
        <w:t>calls</w:t>
      </w:r>
      <w:r w:rsidR="00F915BD">
        <w:rPr>
          <w:lang w:val="en-US"/>
        </w:rPr>
        <w:t xml:space="preserve"> is </w:t>
      </w:r>
      <w:r w:rsidR="00537326">
        <w:rPr>
          <w:lang w:val="en-US"/>
        </w:rPr>
        <w:t>supported</w:t>
      </w:r>
      <w:bookmarkEnd w:id="62"/>
      <w:r w:rsidR="005576B9">
        <w:rPr>
          <w:lang w:val="en-US"/>
        </w:rPr>
        <w:t>.</w:t>
      </w:r>
    </w:p>
    <w:p w14:paraId="753DED57" w14:textId="330B7A4C" w:rsidR="00634E61" w:rsidRPr="00E11627" w:rsidRDefault="00634E61" w:rsidP="00634E61">
      <w:pPr>
        <w:pStyle w:val="Heading2"/>
      </w:pPr>
      <w:r>
        <w:t>CP EDT for MT calls</w:t>
      </w:r>
    </w:p>
    <w:p w14:paraId="63C70B21" w14:textId="32768978" w:rsidR="00634E61" w:rsidRDefault="00D977C7" w:rsidP="00634E61">
      <w:pPr>
        <w:pStyle w:val="BodyText"/>
        <w:rPr>
          <w:rFonts w:cs="Arial"/>
        </w:rPr>
      </w:pPr>
      <w:r>
        <w:rPr>
          <w:rFonts w:cs="Arial"/>
        </w:rPr>
        <w:t xml:space="preserve">For CP solution, </w:t>
      </w:r>
      <w:r w:rsidR="00373947">
        <w:rPr>
          <w:rFonts w:cs="Arial"/>
        </w:rPr>
        <w:t xml:space="preserve">different from UP solution, the UE does not prepare itself with the steps to receive </w:t>
      </w:r>
      <w:r w:rsidR="00A320F7">
        <w:rPr>
          <w:rFonts w:cs="Arial"/>
        </w:rPr>
        <w:t>a Msg4 with DL data</w:t>
      </w:r>
      <w:r w:rsidR="00634E61">
        <w:rPr>
          <w:rFonts w:cs="Arial"/>
        </w:rPr>
        <w:t>.</w:t>
      </w:r>
      <w:r w:rsidR="00A320F7">
        <w:rPr>
          <w:rFonts w:cs="Arial"/>
        </w:rPr>
        <w:t xml:space="preserve"> </w:t>
      </w:r>
      <w:r w:rsidR="00CB450C">
        <w:rPr>
          <w:rFonts w:cs="Arial"/>
        </w:rPr>
        <w:t>Thus,</w:t>
      </w:r>
      <w:r w:rsidR="009D49DD">
        <w:rPr>
          <w:rFonts w:cs="Arial"/>
        </w:rPr>
        <w:t xml:space="preserve"> </w:t>
      </w:r>
      <w:r w:rsidR="00A262DE">
        <w:rPr>
          <w:rFonts w:cs="Arial"/>
        </w:rPr>
        <w:t xml:space="preserve">all </w:t>
      </w:r>
      <w:r w:rsidR="009D49DD">
        <w:rPr>
          <w:rFonts w:cs="Arial"/>
        </w:rPr>
        <w:t xml:space="preserve">the first three messages, i.e., Msg1-Msg3 </w:t>
      </w:r>
      <w:r w:rsidR="00A262DE">
        <w:rPr>
          <w:rFonts w:cs="Arial"/>
        </w:rPr>
        <w:t>can be</w:t>
      </w:r>
      <w:r w:rsidR="009D49DD">
        <w:rPr>
          <w:rFonts w:cs="Arial"/>
        </w:rPr>
        <w:t xml:space="preserve"> as per legacy.</w:t>
      </w:r>
    </w:p>
    <w:p w14:paraId="5602DDD7" w14:textId="7BE7432B" w:rsidR="00B55B8D" w:rsidRDefault="008072D7" w:rsidP="00B55B8D">
      <w:pPr>
        <w:pStyle w:val="Observation"/>
        <w:rPr>
          <w:lang w:val="en-US"/>
        </w:rPr>
      </w:pPr>
      <w:bookmarkStart w:id="63" w:name="_Toc513740828"/>
      <w:r>
        <w:rPr>
          <w:lang w:val="en-US"/>
        </w:rPr>
        <w:t>In</w:t>
      </w:r>
      <w:r w:rsidR="008A450C">
        <w:rPr>
          <w:lang w:val="en-US"/>
        </w:rPr>
        <w:t xml:space="preserve"> CP EDT </w:t>
      </w:r>
      <w:r>
        <w:rPr>
          <w:lang w:val="en-US"/>
        </w:rPr>
        <w:t>for</w:t>
      </w:r>
      <w:r w:rsidR="008A450C">
        <w:rPr>
          <w:lang w:val="en-US"/>
        </w:rPr>
        <w:t xml:space="preserve"> MT </w:t>
      </w:r>
      <w:r>
        <w:rPr>
          <w:lang w:val="en-US"/>
        </w:rPr>
        <w:t>calls</w:t>
      </w:r>
      <w:r w:rsidR="008A450C">
        <w:rPr>
          <w:lang w:val="en-US"/>
        </w:rPr>
        <w:t xml:space="preserve">, </w:t>
      </w:r>
      <w:r w:rsidR="00CB450C">
        <w:rPr>
          <w:lang w:val="en-US"/>
        </w:rPr>
        <w:t>Msg3 can be as legacy</w:t>
      </w:r>
      <w:r w:rsidR="00B55B8D">
        <w:rPr>
          <w:lang w:val="en-US"/>
        </w:rPr>
        <w:t>.</w:t>
      </w:r>
      <w:bookmarkEnd w:id="63"/>
    </w:p>
    <w:p w14:paraId="06D21B4D" w14:textId="57BC7066" w:rsidR="002F1F23" w:rsidRDefault="002F1F23" w:rsidP="002F1F23">
      <w:pPr>
        <w:pStyle w:val="BodyText"/>
        <w:rPr>
          <w:rFonts w:cs="Arial"/>
        </w:rPr>
      </w:pPr>
      <w:bookmarkStart w:id="64" w:name="_Toc498531715"/>
      <w:bookmarkStart w:id="65" w:name="_Toc498537993"/>
      <w:r>
        <w:rPr>
          <w:rFonts w:cs="Arial"/>
        </w:rPr>
        <w:t xml:space="preserve">Then, </w:t>
      </w:r>
      <w:r w:rsidRPr="00E533C6">
        <w:rPr>
          <w:rFonts w:cs="Arial"/>
        </w:rPr>
        <w:t xml:space="preserve">in CP solution, </w:t>
      </w:r>
      <w:r>
        <w:rPr>
          <w:rFonts w:cs="Arial"/>
        </w:rPr>
        <w:t xml:space="preserve">having no UL data to transmit in Msg3, the UE can send in Msg3 the </w:t>
      </w:r>
      <w:r w:rsidRPr="00933B3E">
        <w:rPr>
          <w:rFonts w:cs="Arial"/>
          <w:i/>
        </w:rPr>
        <w:t>RRCConnectionRequest</w:t>
      </w:r>
      <w:r>
        <w:rPr>
          <w:rFonts w:cs="Arial"/>
        </w:rPr>
        <w:t xml:space="preserve"> or the newly defined RRC message, as in MO scenario. In the latter case, the NAS container should be set to </w:t>
      </w:r>
      <w:r>
        <w:t xml:space="preserve">a </w:t>
      </w:r>
      <w:r w:rsidRPr="00E07231">
        <w:t>zero-le</w:t>
      </w:r>
      <w:r>
        <w:t>n</w:t>
      </w:r>
      <w:r w:rsidRPr="00E07231">
        <w:t xml:space="preserve">gth </w:t>
      </w:r>
      <w:r>
        <w:t>octet stri</w:t>
      </w:r>
      <w:r w:rsidRPr="00E07231">
        <w:t>ng</w:t>
      </w:r>
      <w:r>
        <w:rPr>
          <w:rFonts w:cs="Arial"/>
        </w:rPr>
        <w:t xml:space="preserve">. It is proposed that a legacy </w:t>
      </w:r>
      <w:r w:rsidRPr="00933B3E">
        <w:rPr>
          <w:rFonts w:cs="Arial"/>
          <w:i/>
        </w:rPr>
        <w:t>RRCConnectionRequest</w:t>
      </w:r>
      <w:r>
        <w:rPr>
          <w:rFonts w:cs="Arial"/>
        </w:rPr>
        <w:t xml:space="preserve"> is sent in Msg3 and the </w:t>
      </w:r>
      <w:r w:rsidR="009C1FEA" w:rsidRPr="00BD085B">
        <w:rPr>
          <w:rFonts w:cs="Arial"/>
          <w:i/>
        </w:rPr>
        <w:t>RRCEarlyDataComplete</w:t>
      </w:r>
      <w:r>
        <w:rPr>
          <w:rFonts w:cs="Arial"/>
        </w:rPr>
        <w:t xml:space="preserve"> message, as in MO case, with DL NAS-PDU is sent in Msg4. </w:t>
      </w:r>
    </w:p>
    <w:p w14:paraId="456DFFDC" w14:textId="3C2B90C8" w:rsidR="002F1F23" w:rsidRPr="00E553A7" w:rsidRDefault="008072D7" w:rsidP="002F1F23">
      <w:pPr>
        <w:pStyle w:val="Proposal"/>
        <w:tabs>
          <w:tab w:val="clear" w:pos="1304"/>
          <w:tab w:val="num" w:pos="1701"/>
        </w:tabs>
        <w:ind w:left="1701" w:hanging="1701"/>
        <w:rPr>
          <w:rFonts w:cs="Arial"/>
        </w:rPr>
      </w:pPr>
      <w:bookmarkStart w:id="66" w:name="_Toc498537994"/>
      <w:bookmarkStart w:id="67" w:name="_Toc498538021"/>
      <w:bookmarkStart w:id="68" w:name="_Toc498592586"/>
      <w:bookmarkStart w:id="69" w:name="_Toc498592613"/>
      <w:bookmarkStart w:id="70" w:name="_Toc498593203"/>
      <w:bookmarkStart w:id="71" w:name="_Toc498593307"/>
      <w:bookmarkStart w:id="72" w:name="_Toc498593472"/>
      <w:bookmarkStart w:id="73" w:name="_Toc498593534"/>
      <w:bookmarkStart w:id="74" w:name="_Toc498593562"/>
      <w:bookmarkStart w:id="75" w:name="_Toc498593688"/>
      <w:bookmarkStart w:id="76" w:name="_Toc498593864"/>
      <w:bookmarkStart w:id="77" w:name="_Toc498594037"/>
      <w:bookmarkStart w:id="78" w:name="_Toc498594059"/>
      <w:bookmarkStart w:id="79" w:name="_Toc498595028"/>
      <w:bookmarkStart w:id="80" w:name="_Toc498609206"/>
      <w:bookmarkStart w:id="81" w:name="_Toc498609233"/>
      <w:bookmarkStart w:id="82" w:name="_Toc498618145"/>
      <w:bookmarkStart w:id="83" w:name="_Toc498618630"/>
      <w:bookmarkStart w:id="84" w:name="_Toc498638601"/>
      <w:bookmarkStart w:id="85" w:name="_Toc498638685"/>
      <w:bookmarkStart w:id="86" w:name="_Toc498644615"/>
      <w:bookmarkStart w:id="87" w:name="_Toc498652190"/>
      <w:bookmarkStart w:id="88" w:name="_Toc498661962"/>
      <w:bookmarkStart w:id="89" w:name="_Toc505092553"/>
      <w:bookmarkStart w:id="90" w:name="_Toc510629336"/>
      <w:bookmarkStart w:id="91" w:name="_Toc510701090"/>
      <w:bookmarkStart w:id="92" w:name="_Toc513740824"/>
      <w:bookmarkEnd w:id="64"/>
      <w:bookmarkEnd w:id="65"/>
      <w:r>
        <w:rPr>
          <w:lang w:val="en-US"/>
        </w:rPr>
        <w:t>In CP EDT for MT calls</w:t>
      </w:r>
      <w:r w:rsidR="002F1F23">
        <w:t xml:space="preserve">, </w:t>
      </w:r>
      <w:r w:rsidR="006D07D3" w:rsidRPr="00BD085B">
        <w:rPr>
          <w:i/>
        </w:rPr>
        <w:t>RRCEarlyDataComplete</w:t>
      </w:r>
      <w:r w:rsidR="006D07D3">
        <w:t xml:space="preserve"> with DL NAS data is received </w:t>
      </w:r>
      <w:r w:rsidR="00A11DD8">
        <w:t>in response to a legacy RRCConnectionRequest</w:t>
      </w:r>
      <w:r w:rsidR="002F1F23" w:rsidRPr="00AE23D2">
        <w:rPr>
          <w:rFonts w:cs="Arial"/>
          <w:noProof/>
          <w:szCs w:val="22"/>
        </w:rPr>
        <w:t xml:space="preserve"> message</w:t>
      </w:r>
      <w:r w:rsidR="002F1F23" w:rsidRPr="0026359F">
        <w: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CBDE2B3" w14:textId="77777777" w:rsidR="00C01F33" w:rsidRPr="00CE0424" w:rsidRDefault="00C01F33" w:rsidP="00CE0424">
      <w:pPr>
        <w:pStyle w:val="Heading1"/>
      </w:pPr>
      <w:r w:rsidRPr="00CE0424">
        <w:lastRenderedPageBreak/>
        <w:t>Conclusion</w:t>
      </w:r>
    </w:p>
    <w:p w14:paraId="24D3CC61" w14:textId="2D2DB026" w:rsidR="00E5021C" w:rsidRDefault="008E065E" w:rsidP="00E5021C">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B7500">
        <w:t>2</w:t>
      </w:r>
      <w:r w:rsidRPr="00CE0424">
        <w:rPr>
          <w:highlight w:val="cyan"/>
        </w:rPr>
        <w:fldChar w:fldCharType="end"/>
      </w:r>
      <w:r w:rsidRPr="00CE0424">
        <w:t xml:space="preserve"> we </w:t>
      </w:r>
      <w:r>
        <w:t>made the following observations</w:t>
      </w:r>
      <w:r w:rsidRPr="00CE0424">
        <w:t>:</w:t>
      </w:r>
    </w:p>
    <w:p w14:paraId="031384F3" w14:textId="77777777" w:rsidR="00256964" w:rsidRDefault="002B04B9">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\h \z \t "Observation,1" </w:instrText>
      </w:r>
      <w:r>
        <w:rPr>
          <w:bCs/>
        </w:rPr>
        <w:fldChar w:fldCharType="separate"/>
      </w:r>
      <w:hyperlink w:anchor="_Toc513740825" w:history="1">
        <w:r w:rsidR="00256964" w:rsidRPr="00FD379D">
          <w:rPr>
            <w:rStyle w:val="Hyperlink"/>
            <w:lang w:val="en-US"/>
          </w:rPr>
          <w:t>Observation 1</w:t>
        </w:r>
        <w:r w:rsidR="00256964">
          <w:rPr>
            <w:rFonts w:asciiTheme="minorHAnsi" w:eastAsiaTheme="minorEastAsia" w:hAnsiTheme="minorHAnsi" w:cstheme="minorBidi"/>
            <w:b w:val="0"/>
            <w:sz w:val="22"/>
            <w:lang w:eastAsia="en-US"/>
          </w:rPr>
          <w:tab/>
        </w:r>
        <w:r w:rsidR="00256964" w:rsidRPr="00FD379D">
          <w:rPr>
            <w:rStyle w:val="Hyperlink"/>
            <w:lang w:val="en-US"/>
          </w:rPr>
          <w:t>By the time the UE is paged, the eNB and MME do not always know DL data size.</w:t>
        </w:r>
      </w:hyperlink>
    </w:p>
    <w:p w14:paraId="1EE01846" w14:textId="77777777" w:rsidR="00256964" w:rsidRDefault="00697ED9">
      <w:pPr>
        <w:pStyle w:val="TOC1"/>
        <w:rPr>
          <w:rFonts w:asciiTheme="minorHAnsi" w:eastAsiaTheme="minorEastAsia" w:hAnsiTheme="minorHAnsi" w:cstheme="minorBidi"/>
          <w:b w:val="0"/>
          <w:sz w:val="22"/>
          <w:lang w:eastAsia="en-US"/>
        </w:rPr>
      </w:pPr>
      <w:hyperlink w:anchor="_Toc513740826" w:history="1">
        <w:r w:rsidR="00256964" w:rsidRPr="00FD379D">
          <w:rPr>
            <w:rStyle w:val="Hyperlink"/>
            <w:lang w:val="en-US"/>
          </w:rPr>
          <w:t>Observation 2</w:t>
        </w:r>
        <w:r w:rsidR="00256964">
          <w:rPr>
            <w:rFonts w:asciiTheme="minorHAnsi" w:eastAsiaTheme="minorEastAsia" w:hAnsiTheme="minorHAnsi" w:cstheme="minorBidi"/>
            <w:b w:val="0"/>
            <w:sz w:val="22"/>
            <w:lang w:eastAsia="en-US"/>
          </w:rPr>
          <w:tab/>
        </w:r>
        <w:r w:rsidR="00256964" w:rsidRPr="00FD379D">
          <w:rPr>
            <w:rStyle w:val="Hyperlink"/>
            <w:lang w:val="en-US"/>
          </w:rPr>
          <w:t>In UP solution, the UE needs to prepare itself with security and bearer reactivation/resumption for receiving an encrypted Msg4 with DL data</w:t>
        </w:r>
      </w:hyperlink>
    </w:p>
    <w:p w14:paraId="160FFF8A" w14:textId="77777777" w:rsidR="00256964" w:rsidRDefault="00697ED9">
      <w:pPr>
        <w:pStyle w:val="TOC1"/>
        <w:rPr>
          <w:rFonts w:asciiTheme="minorHAnsi" w:eastAsiaTheme="minorEastAsia" w:hAnsiTheme="minorHAnsi" w:cstheme="minorBidi"/>
          <w:b w:val="0"/>
          <w:sz w:val="22"/>
          <w:lang w:eastAsia="en-US"/>
        </w:rPr>
      </w:pPr>
      <w:hyperlink w:anchor="_Toc513740827" w:history="1">
        <w:r w:rsidR="00256964" w:rsidRPr="00FD379D">
          <w:rPr>
            <w:rStyle w:val="Hyperlink"/>
            <w:lang w:val="en-US"/>
          </w:rPr>
          <w:t>Observation 3</w:t>
        </w:r>
        <w:r w:rsidR="00256964">
          <w:rPr>
            <w:rFonts w:asciiTheme="minorHAnsi" w:eastAsiaTheme="minorEastAsia" w:hAnsiTheme="minorHAnsi" w:cstheme="minorBidi"/>
            <w:b w:val="0"/>
            <w:sz w:val="22"/>
            <w:lang w:eastAsia="en-US"/>
          </w:rPr>
          <w:tab/>
        </w:r>
        <w:r w:rsidR="00256964" w:rsidRPr="00FD379D">
          <w:rPr>
            <w:rStyle w:val="Hyperlink"/>
            <w:lang w:val="en-US"/>
          </w:rPr>
          <w:t>If Proposal 3 is agreed, early data in Msg4 in MT scenario is supported</w:t>
        </w:r>
      </w:hyperlink>
    </w:p>
    <w:p w14:paraId="7ECB0DE5" w14:textId="77777777" w:rsidR="00256964" w:rsidRDefault="00697ED9">
      <w:pPr>
        <w:pStyle w:val="TOC1"/>
        <w:rPr>
          <w:rFonts w:asciiTheme="minorHAnsi" w:eastAsiaTheme="minorEastAsia" w:hAnsiTheme="minorHAnsi" w:cstheme="minorBidi"/>
          <w:b w:val="0"/>
          <w:sz w:val="22"/>
          <w:lang w:eastAsia="en-US"/>
        </w:rPr>
      </w:pPr>
      <w:hyperlink w:anchor="_Toc513740828" w:history="1">
        <w:r w:rsidR="00256964" w:rsidRPr="00FD379D">
          <w:rPr>
            <w:rStyle w:val="Hyperlink"/>
            <w:lang w:val="en-US"/>
          </w:rPr>
          <w:t>Observation 4</w:t>
        </w:r>
        <w:r w:rsidR="00256964">
          <w:rPr>
            <w:rFonts w:asciiTheme="minorHAnsi" w:eastAsiaTheme="minorEastAsia" w:hAnsiTheme="minorHAnsi" w:cstheme="minorBidi"/>
            <w:b w:val="0"/>
            <w:sz w:val="22"/>
            <w:lang w:eastAsia="en-US"/>
          </w:rPr>
          <w:tab/>
        </w:r>
        <w:r w:rsidR="00256964" w:rsidRPr="00FD379D">
          <w:rPr>
            <w:rStyle w:val="Hyperlink"/>
            <w:lang w:val="en-US"/>
          </w:rPr>
          <w:t>For CP EDT in MT scenario, Msg3 can be as legacy.</w:t>
        </w:r>
      </w:hyperlink>
    </w:p>
    <w:p w14:paraId="061674E9" w14:textId="5FEF86CE" w:rsidR="00E5021C" w:rsidRDefault="002B04B9" w:rsidP="003A10B4">
      <w:pPr>
        <w:pStyle w:val="BodyText"/>
      </w:pPr>
      <w:r>
        <w:rPr>
          <w:bCs/>
          <w:noProof/>
          <w:szCs w:val="22"/>
          <w:lang w:val="en-US"/>
        </w:rPr>
        <w:fldChar w:fldCharType="end"/>
      </w:r>
      <w:r w:rsidR="00E5021C">
        <w:rPr>
          <w:b/>
          <w:bCs/>
        </w:rPr>
        <w:t xml:space="preserve"> </w:t>
      </w:r>
    </w:p>
    <w:p w14:paraId="128279F2" w14:textId="5E325619" w:rsidR="00E5021C" w:rsidRDefault="008E065E" w:rsidP="003A10B4">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B7500">
        <w:t>2</w:t>
      </w:r>
      <w:r w:rsidRPr="00CE0424">
        <w:rPr>
          <w:highlight w:val="cyan"/>
        </w:rPr>
        <w:fldChar w:fldCharType="end"/>
      </w:r>
      <w:r w:rsidRPr="00CE0424">
        <w:t xml:space="preserve"> we propose the following:</w:t>
      </w:r>
    </w:p>
    <w:p w14:paraId="12826D43" w14:textId="77777777" w:rsidR="00256964" w:rsidRDefault="002B04B9">
      <w:pPr>
        <w:pStyle w:val="TOC1"/>
        <w:rPr>
          <w:rFonts w:asciiTheme="minorHAnsi" w:eastAsiaTheme="minorEastAsia" w:hAnsiTheme="minorHAnsi" w:cstheme="minorBidi"/>
          <w:b w:val="0"/>
          <w:sz w:val="22"/>
          <w:lang w:eastAsia="en-US"/>
        </w:rPr>
      </w:pPr>
      <w:r>
        <w:rPr>
          <w:bCs/>
        </w:rPr>
        <w:fldChar w:fldCharType="begin"/>
      </w:r>
      <w:r>
        <w:rPr>
          <w:bCs/>
        </w:rPr>
        <w:instrText xml:space="preserve"> TOC \n \h \z \t "Proposal,1" </w:instrText>
      </w:r>
      <w:r>
        <w:rPr>
          <w:bCs/>
        </w:rPr>
        <w:fldChar w:fldCharType="separate"/>
      </w:r>
      <w:hyperlink w:anchor="_Toc513740821" w:history="1">
        <w:r w:rsidR="00256964" w:rsidRPr="003E6F75">
          <w:rPr>
            <w:rStyle w:val="Hyperlink"/>
            <w:rFonts w:cs="Arial"/>
          </w:rPr>
          <w:t>Proposal 1</w:t>
        </w:r>
        <w:r w:rsidR="00256964">
          <w:rPr>
            <w:rFonts w:asciiTheme="minorHAnsi" w:eastAsiaTheme="minorEastAsia" w:hAnsiTheme="minorHAnsi" w:cstheme="minorBidi"/>
            <w:b w:val="0"/>
            <w:sz w:val="22"/>
            <w:lang w:eastAsia="en-US"/>
          </w:rPr>
          <w:tab/>
        </w:r>
        <w:r w:rsidR="00256964" w:rsidRPr="003E6F75">
          <w:rPr>
            <w:rStyle w:val="Hyperlink"/>
          </w:rPr>
          <w:t>EDT for MT scenario is supported without a restriction on DL data size.</w:t>
        </w:r>
      </w:hyperlink>
    </w:p>
    <w:p w14:paraId="30A66FEB" w14:textId="77777777" w:rsidR="00256964" w:rsidRDefault="00697ED9">
      <w:pPr>
        <w:pStyle w:val="TOC1"/>
        <w:rPr>
          <w:rFonts w:asciiTheme="minorHAnsi" w:eastAsiaTheme="minorEastAsia" w:hAnsiTheme="minorHAnsi" w:cstheme="minorBidi"/>
          <w:b w:val="0"/>
          <w:sz w:val="22"/>
          <w:lang w:eastAsia="en-US"/>
        </w:rPr>
      </w:pPr>
      <w:hyperlink w:anchor="_Toc513740822" w:history="1">
        <w:r w:rsidR="00256964" w:rsidRPr="003E6F75">
          <w:rPr>
            <w:rStyle w:val="Hyperlink"/>
            <w:rFonts w:cs="Arial"/>
          </w:rPr>
          <w:t>Proposal 2</w:t>
        </w:r>
        <w:r w:rsidR="00256964">
          <w:rPr>
            <w:rFonts w:asciiTheme="minorHAnsi" w:eastAsiaTheme="minorEastAsia" w:hAnsiTheme="minorHAnsi" w:cstheme="minorBidi"/>
            <w:b w:val="0"/>
            <w:sz w:val="22"/>
            <w:lang w:eastAsia="en-US"/>
          </w:rPr>
          <w:tab/>
        </w:r>
        <w:r w:rsidR="00256964" w:rsidRPr="003E6F75">
          <w:rPr>
            <w:rStyle w:val="Hyperlink"/>
          </w:rPr>
          <w:t>For EDT in MT scenario, the UE shall not indicate EDT in Msg1 and network does not provide EDT UL grant in Msg2.</w:t>
        </w:r>
      </w:hyperlink>
    </w:p>
    <w:p w14:paraId="7C205645" w14:textId="77777777" w:rsidR="00256964" w:rsidRDefault="00697ED9">
      <w:pPr>
        <w:pStyle w:val="TOC1"/>
        <w:rPr>
          <w:rFonts w:asciiTheme="minorHAnsi" w:eastAsiaTheme="minorEastAsia" w:hAnsiTheme="minorHAnsi" w:cstheme="minorBidi"/>
          <w:b w:val="0"/>
          <w:sz w:val="22"/>
          <w:lang w:eastAsia="en-US"/>
        </w:rPr>
      </w:pPr>
      <w:hyperlink w:anchor="_Toc513740823" w:history="1">
        <w:r w:rsidR="00256964" w:rsidRPr="003E6F75">
          <w:rPr>
            <w:rStyle w:val="Hyperlink"/>
            <w:rFonts w:cs="Arial"/>
          </w:rPr>
          <w:t>Proposal 3</w:t>
        </w:r>
        <w:r w:rsidR="00256964">
          <w:rPr>
            <w:rFonts w:asciiTheme="minorHAnsi" w:eastAsiaTheme="minorEastAsia" w:hAnsiTheme="minorHAnsi" w:cstheme="minorBidi"/>
            <w:b w:val="0"/>
            <w:sz w:val="22"/>
            <w:lang w:eastAsia="en-US"/>
          </w:rPr>
          <w:tab/>
        </w:r>
        <w:r w:rsidR="00256964" w:rsidRPr="003E6F75">
          <w:rPr>
            <w:rStyle w:val="Hyperlink"/>
          </w:rPr>
          <w:t>If the UE was provided with the NCC during suspend procedure, it shall restore context, reactivate security, resume bearers, and derive AS keys before transmission of Msg3 without UL data.</w:t>
        </w:r>
      </w:hyperlink>
    </w:p>
    <w:p w14:paraId="7F9A9557" w14:textId="77777777" w:rsidR="00256964" w:rsidRDefault="00697ED9">
      <w:pPr>
        <w:pStyle w:val="TOC1"/>
        <w:rPr>
          <w:rFonts w:asciiTheme="minorHAnsi" w:eastAsiaTheme="minorEastAsia" w:hAnsiTheme="minorHAnsi" w:cstheme="minorBidi"/>
          <w:b w:val="0"/>
          <w:sz w:val="22"/>
          <w:lang w:eastAsia="en-US"/>
        </w:rPr>
      </w:pPr>
      <w:hyperlink w:anchor="_Toc513740824" w:history="1">
        <w:r w:rsidR="00256964" w:rsidRPr="003E6F75">
          <w:rPr>
            <w:rStyle w:val="Hyperlink"/>
            <w:rFonts w:cs="Arial"/>
          </w:rPr>
          <w:t>Proposal 4</w:t>
        </w:r>
        <w:r w:rsidR="00256964">
          <w:rPr>
            <w:rFonts w:asciiTheme="minorHAnsi" w:eastAsiaTheme="minorEastAsia" w:hAnsiTheme="minorHAnsi" w:cstheme="minorBidi"/>
            <w:b w:val="0"/>
            <w:sz w:val="22"/>
            <w:lang w:eastAsia="en-US"/>
          </w:rPr>
          <w:tab/>
        </w:r>
        <w:r w:rsidR="00256964" w:rsidRPr="003E6F75">
          <w:rPr>
            <w:rStyle w:val="Hyperlink"/>
          </w:rPr>
          <w:t xml:space="preserve">For CP EDT in MT scenario, </w:t>
        </w:r>
        <w:r w:rsidR="00256964" w:rsidRPr="003E6F75">
          <w:rPr>
            <w:rStyle w:val="Hyperlink"/>
            <w:i/>
          </w:rPr>
          <w:t>RRCEarlyDataComplete</w:t>
        </w:r>
        <w:r w:rsidR="00256964" w:rsidRPr="003E6F75">
          <w:rPr>
            <w:rStyle w:val="Hyperlink"/>
          </w:rPr>
          <w:t xml:space="preserve"> with DL NAS data is received in response to a legacy RRCConnectionRequest</w:t>
        </w:r>
        <w:r w:rsidR="00256964" w:rsidRPr="003E6F75">
          <w:rPr>
            <w:rStyle w:val="Hyperlink"/>
            <w:rFonts w:cs="Arial"/>
          </w:rPr>
          <w:t xml:space="preserve"> message</w:t>
        </w:r>
        <w:r w:rsidR="00256964" w:rsidRPr="003E6F75">
          <w:rPr>
            <w:rStyle w:val="Hyperlink"/>
          </w:rPr>
          <w:t>.</w:t>
        </w:r>
      </w:hyperlink>
    </w:p>
    <w:p w14:paraId="6AEB3F51" w14:textId="129252E2" w:rsidR="008E065E" w:rsidRPr="00CE0424" w:rsidRDefault="002B04B9" w:rsidP="003A10B4">
      <w:pPr>
        <w:pStyle w:val="BodyText"/>
        <w:rPr>
          <w:b/>
          <w:bCs/>
        </w:rPr>
      </w:pPr>
      <w:r>
        <w:rPr>
          <w:bCs/>
          <w:noProof/>
          <w:szCs w:val="22"/>
          <w:lang w:val="en-US"/>
        </w:rPr>
        <w:fldChar w:fldCharType="end"/>
      </w:r>
    </w:p>
    <w:p w14:paraId="15239A93" w14:textId="77777777" w:rsidR="00F507D1" w:rsidRPr="00D62592" w:rsidRDefault="00F507D1" w:rsidP="00CE0424">
      <w:pPr>
        <w:pStyle w:val="Heading1"/>
      </w:pPr>
      <w:bookmarkStart w:id="93" w:name="_In-sequence_SDU_delivery"/>
      <w:bookmarkEnd w:id="93"/>
      <w:r w:rsidRPr="00D62592">
        <w:t>References</w:t>
      </w:r>
    </w:p>
    <w:p w14:paraId="3CA0D127" w14:textId="4E2EB14C" w:rsidR="00A4767B" w:rsidRPr="00CE0424" w:rsidRDefault="00A4767B" w:rsidP="00A4767B">
      <w:pPr>
        <w:pStyle w:val="Reference"/>
      </w:pPr>
      <w:bookmarkStart w:id="94" w:name="_Ref513739289"/>
      <w:r>
        <w:t>R2-180624, “Report from Rel-15 MTC session”, Ericsson</w:t>
      </w:r>
      <w:r w:rsidR="000828AF">
        <w:t>’</w:t>
      </w:r>
      <w:r>
        <w:t xml:space="preserve"> chairman, RAN2#101bis, Sanya, China</w:t>
      </w:r>
    </w:p>
    <w:p w14:paraId="2A52CE0C" w14:textId="77777777" w:rsidR="000D77D2" w:rsidRDefault="000D77D2" w:rsidP="000D77D2">
      <w:pPr>
        <w:pStyle w:val="Reference"/>
      </w:pPr>
      <w:r w:rsidRPr="00974E96">
        <w:t>R2-1806512</w:t>
      </w:r>
      <w:r>
        <w:t>, “</w:t>
      </w:r>
      <w:r>
        <w:rPr>
          <w:noProof/>
        </w:rPr>
        <w:t>Introduction of EDT for eMTC and</w:t>
      </w:r>
      <w:r w:rsidRPr="00B61EFE">
        <w:rPr>
          <w:rFonts w:cs="Arial"/>
          <w:noProof/>
        </w:rPr>
        <w:t xml:space="preserve"> NB-IoT enhancement</w:t>
      </w:r>
      <w:r>
        <w:rPr>
          <w:rFonts w:cs="Arial"/>
          <w:noProof/>
        </w:rPr>
        <w:t>s</w:t>
      </w:r>
      <w:r>
        <w:t>”, RAN2#102</w:t>
      </w:r>
      <w:bookmarkEnd w:id="94"/>
    </w:p>
    <w:p w14:paraId="45B7741B" w14:textId="77777777" w:rsidR="000D77D2" w:rsidRDefault="000D77D2" w:rsidP="000D77D2">
      <w:pPr>
        <w:pStyle w:val="Reference"/>
      </w:pPr>
      <w:bookmarkStart w:id="95" w:name="_Ref513739097"/>
      <w:r w:rsidRPr="00EC335C">
        <w:t>R2-1807797, “Report of email discussion [101bis#77] RRC-MAC interaction in EDT</w:t>
      </w:r>
      <w:r>
        <w:t>”, RAN2#102</w:t>
      </w:r>
      <w:bookmarkEnd w:id="95"/>
    </w:p>
    <w:p w14:paraId="29EE102B" w14:textId="77777777" w:rsidR="000D77D2" w:rsidRDefault="000D77D2" w:rsidP="000D77D2">
      <w:pPr>
        <w:pStyle w:val="Reference"/>
      </w:pPr>
      <w:bookmarkStart w:id="96" w:name="_Ref513654660"/>
      <w:r w:rsidRPr="00365038">
        <w:t>R2-</w:t>
      </w:r>
      <w:r w:rsidRPr="00273F6B">
        <w:t>1807801</w:t>
      </w:r>
      <w:r>
        <w:t>, “</w:t>
      </w:r>
      <w:r w:rsidRPr="00365038">
        <w:t>Remaining security aspects for EDT</w:t>
      </w:r>
      <w:r>
        <w:t>”, RAN2#102, source Ericsson</w:t>
      </w:r>
      <w:bookmarkEnd w:id="96"/>
    </w:p>
    <w:p w14:paraId="2CEF0BBA" w14:textId="77777777" w:rsidR="000D77D2" w:rsidRPr="00DA055B" w:rsidRDefault="000D77D2" w:rsidP="000D77D2">
      <w:pPr>
        <w:pStyle w:val="Reference"/>
      </w:pPr>
      <w:r w:rsidRPr="00933B3E">
        <w:t>R2-1805078, “</w:t>
      </w:r>
      <w:r>
        <w:t>Report of the Email discussion [101#57][NB-IoT MTC R15] EDT remaining issues”, RAN2#101bis</w:t>
      </w:r>
    </w:p>
    <w:p w14:paraId="69A1AAB2" w14:textId="77777777" w:rsidR="000D77D2" w:rsidRDefault="000D77D2" w:rsidP="000D77D2">
      <w:pPr>
        <w:pStyle w:val="Reference"/>
      </w:pPr>
      <w:r>
        <w:t>R2-1804899, “</w:t>
      </w:r>
      <w:r w:rsidRPr="00BE02C0">
        <w:t xml:space="preserve">[101#58][NB-IoT/MTC </w:t>
      </w:r>
      <w:r w:rsidRPr="007E3FAA">
        <w:t>R15] EDT security issues</w:t>
      </w:r>
      <w:r>
        <w:t>”</w:t>
      </w:r>
      <w:r w:rsidRPr="007E3FAA">
        <w:t>, RAN2</w:t>
      </w:r>
      <w:r>
        <w:t>#101bis</w:t>
      </w:r>
    </w:p>
    <w:p w14:paraId="768368A7" w14:textId="77777777" w:rsidR="000D77D2" w:rsidRDefault="000D77D2" w:rsidP="000D77D2">
      <w:pPr>
        <w:pStyle w:val="Reference"/>
        <w:numPr>
          <w:ilvl w:val="0"/>
          <w:numId w:val="0"/>
        </w:numPr>
        <w:ind w:left="567" w:hanging="567"/>
      </w:pPr>
    </w:p>
    <w:sectPr w:rsidR="000D77D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A14A8" w14:textId="77777777" w:rsidR="00697ED9" w:rsidRDefault="00697ED9">
      <w:r>
        <w:separator/>
      </w:r>
    </w:p>
  </w:endnote>
  <w:endnote w:type="continuationSeparator" w:id="0">
    <w:p w14:paraId="400AE5B9" w14:textId="77777777" w:rsidR="00697ED9" w:rsidRDefault="00697ED9">
      <w:r>
        <w:continuationSeparator/>
      </w:r>
    </w:p>
  </w:endnote>
  <w:endnote w:type="continuationNotice" w:id="1">
    <w:p w14:paraId="2EB56117" w14:textId="77777777" w:rsidR="00697ED9" w:rsidRDefault="00697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41696" w14:textId="77777777" w:rsidR="00697ED9" w:rsidRDefault="00697ED9">
      <w:r>
        <w:separator/>
      </w:r>
    </w:p>
  </w:footnote>
  <w:footnote w:type="continuationSeparator" w:id="0">
    <w:p w14:paraId="3CEDBAF4" w14:textId="77777777" w:rsidR="00697ED9" w:rsidRDefault="00697ED9">
      <w:r>
        <w:continuationSeparator/>
      </w:r>
    </w:p>
  </w:footnote>
  <w:footnote w:type="continuationNotice" w:id="1">
    <w:p w14:paraId="6E43E952" w14:textId="77777777" w:rsidR="00697ED9" w:rsidRDefault="00697E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AC2676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89A7D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C32226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5B735D"/>
    <w:multiLevelType w:val="hybridMultilevel"/>
    <w:tmpl w:val="2B42E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603791"/>
    <w:multiLevelType w:val="hybridMultilevel"/>
    <w:tmpl w:val="D8D4D6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C33D6A"/>
    <w:multiLevelType w:val="hybridMultilevel"/>
    <w:tmpl w:val="04CA2BE8"/>
    <w:lvl w:ilvl="0" w:tplc="EBF6BC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D28F4"/>
    <w:multiLevelType w:val="hybridMultilevel"/>
    <w:tmpl w:val="A94C5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5557"/>
        </w:tabs>
        <w:ind w:left="555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AB33F5"/>
    <w:multiLevelType w:val="hybridMultilevel"/>
    <w:tmpl w:val="19DECC62"/>
    <w:lvl w:ilvl="0" w:tplc="36E6A158">
      <w:start w:val="4"/>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BCA735E"/>
    <w:multiLevelType w:val="hybridMultilevel"/>
    <w:tmpl w:val="1402D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73BC9"/>
    <w:multiLevelType w:val="hybridMultilevel"/>
    <w:tmpl w:val="7A98B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377B5A"/>
    <w:multiLevelType w:val="hybridMultilevel"/>
    <w:tmpl w:val="F82A10AE"/>
    <w:lvl w:ilvl="0" w:tplc="041D0001">
      <w:start w:val="1"/>
      <w:numFmt w:val="bullet"/>
      <w:lvlText w:val=""/>
      <w:lvlJc w:val="left"/>
      <w:pPr>
        <w:ind w:left="3272" w:hanging="360"/>
      </w:pPr>
      <w:rPr>
        <w:rFonts w:ascii="Symbol" w:hAnsi="Symbol" w:hint="default"/>
      </w:rPr>
    </w:lvl>
    <w:lvl w:ilvl="1" w:tplc="041D0003">
      <w:start w:val="1"/>
      <w:numFmt w:val="bullet"/>
      <w:lvlText w:val="o"/>
      <w:lvlJc w:val="left"/>
      <w:pPr>
        <w:ind w:left="3992" w:hanging="360"/>
      </w:pPr>
      <w:rPr>
        <w:rFonts w:ascii="Courier New" w:hAnsi="Courier New" w:cs="Courier New" w:hint="default"/>
      </w:rPr>
    </w:lvl>
    <w:lvl w:ilvl="2" w:tplc="041D0005">
      <w:start w:val="1"/>
      <w:numFmt w:val="bullet"/>
      <w:lvlText w:val=""/>
      <w:lvlJc w:val="left"/>
      <w:pPr>
        <w:ind w:left="4712" w:hanging="360"/>
      </w:pPr>
      <w:rPr>
        <w:rFonts w:ascii="Wingdings" w:hAnsi="Wingdings" w:hint="default"/>
      </w:rPr>
    </w:lvl>
    <w:lvl w:ilvl="3" w:tplc="041D0001" w:tentative="1">
      <w:start w:val="1"/>
      <w:numFmt w:val="bullet"/>
      <w:lvlText w:val=""/>
      <w:lvlJc w:val="left"/>
      <w:pPr>
        <w:ind w:left="5432" w:hanging="360"/>
      </w:pPr>
      <w:rPr>
        <w:rFonts w:ascii="Symbol" w:hAnsi="Symbol" w:hint="default"/>
      </w:rPr>
    </w:lvl>
    <w:lvl w:ilvl="4" w:tplc="041D0003" w:tentative="1">
      <w:start w:val="1"/>
      <w:numFmt w:val="bullet"/>
      <w:lvlText w:val="o"/>
      <w:lvlJc w:val="left"/>
      <w:pPr>
        <w:ind w:left="6152" w:hanging="360"/>
      </w:pPr>
      <w:rPr>
        <w:rFonts w:ascii="Courier New" w:hAnsi="Courier New" w:cs="Courier New" w:hint="default"/>
      </w:rPr>
    </w:lvl>
    <w:lvl w:ilvl="5" w:tplc="041D0005" w:tentative="1">
      <w:start w:val="1"/>
      <w:numFmt w:val="bullet"/>
      <w:lvlText w:val=""/>
      <w:lvlJc w:val="left"/>
      <w:pPr>
        <w:ind w:left="6872" w:hanging="360"/>
      </w:pPr>
      <w:rPr>
        <w:rFonts w:ascii="Wingdings" w:hAnsi="Wingdings" w:hint="default"/>
      </w:rPr>
    </w:lvl>
    <w:lvl w:ilvl="6" w:tplc="041D0001" w:tentative="1">
      <w:start w:val="1"/>
      <w:numFmt w:val="bullet"/>
      <w:lvlText w:val=""/>
      <w:lvlJc w:val="left"/>
      <w:pPr>
        <w:ind w:left="7592" w:hanging="360"/>
      </w:pPr>
      <w:rPr>
        <w:rFonts w:ascii="Symbol" w:hAnsi="Symbol" w:hint="default"/>
      </w:rPr>
    </w:lvl>
    <w:lvl w:ilvl="7" w:tplc="041D0003" w:tentative="1">
      <w:start w:val="1"/>
      <w:numFmt w:val="bullet"/>
      <w:lvlText w:val="o"/>
      <w:lvlJc w:val="left"/>
      <w:pPr>
        <w:ind w:left="8312" w:hanging="360"/>
      </w:pPr>
      <w:rPr>
        <w:rFonts w:ascii="Courier New" w:hAnsi="Courier New" w:cs="Courier New" w:hint="default"/>
      </w:rPr>
    </w:lvl>
    <w:lvl w:ilvl="8" w:tplc="041D0005" w:tentative="1">
      <w:start w:val="1"/>
      <w:numFmt w:val="bullet"/>
      <w:lvlText w:val=""/>
      <w:lvlJc w:val="left"/>
      <w:pPr>
        <w:ind w:left="9032" w:hanging="360"/>
      </w:pPr>
      <w:rPr>
        <w:rFonts w:ascii="Wingdings" w:hAnsi="Wingdings" w:hint="default"/>
      </w:rPr>
    </w:lvl>
  </w:abstractNum>
  <w:abstractNum w:abstractNumId="24" w15:restartNumberingAfterBreak="0">
    <w:nsid w:val="7D96262C"/>
    <w:multiLevelType w:val="hybridMultilevel"/>
    <w:tmpl w:val="7020D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E4207A0"/>
    <w:multiLevelType w:val="hybridMultilevel"/>
    <w:tmpl w:val="8CE82E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9"/>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7"/>
  </w:num>
  <w:num w:numId="26">
    <w:abstractNumId w:val="17"/>
  </w:num>
  <w:num w:numId="27">
    <w:abstractNumId w:val="17"/>
  </w:num>
  <w:num w:numId="28">
    <w:abstractNumId w:val="17"/>
  </w:num>
  <w:num w:numId="29">
    <w:abstractNumId w:val="15"/>
  </w:num>
  <w:num w:numId="30">
    <w:abstractNumId w:val="23"/>
  </w:num>
  <w:num w:numId="31">
    <w:abstractNumId w:val="24"/>
  </w:num>
  <w:num w:numId="32">
    <w:abstractNumId w:val="11"/>
  </w:num>
  <w:num w:numId="33">
    <w:abstractNumId w:val="4"/>
  </w:num>
  <w:num w:numId="34">
    <w:abstractNumId w:val="12"/>
  </w:num>
  <w:num w:numId="35">
    <w:abstractNumId w:val="15"/>
  </w:num>
  <w:num w:numId="36">
    <w:abstractNumId w:val="7"/>
  </w:num>
  <w:num w:numId="37">
    <w:abstractNumId w:val="6"/>
  </w:num>
  <w:num w:numId="38">
    <w:abstractNumId w:val="15"/>
  </w:num>
  <w:num w:numId="39">
    <w:abstractNumId w:val="16"/>
  </w:num>
  <w:num w:numId="40">
    <w:abstractNumId w:val="15"/>
  </w:num>
  <w:num w:numId="41">
    <w:abstractNumId w:val="15"/>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5"/>
  </w:num>
  <w:num w:numId="45">
    <w:abstractNumId w:val="5"/>
  </w:num>
  <w:num w:numId="4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6E1"/>
    <w:rsid w:val="00002A37"/>
    <w:rsid w:val="00002F52"/>
    <w:rsid w:val="00003202"/>
    <w:rsid w:val="000039F4"/>
    <w:rsid w:val="000054E4"/>
    <w:rsid w:val="00006446"/>
    <w:rsid w:val="00006896"/>
    <w:rsid w:val="00007CDC"/>
    <w:rsid w:val="00011B28"/>
    <w:rsid w:val="00013DFD"/>
    <w:rsid w:val="000151AE"/>
    <w:rsid w:val="00015D15"/>
    <w:rsid w:val="00017AFD"/>
    <w:rsid w:val="00017EF5"/>
    <w:rsid w:val="00024E72"/>
    <w:rsid w:val="0002564D"/>
    <w:rsid w:val="00025ECA"/>
    <w:rsid w:val="000307CA"/>
    <w:rsid w:val="0003153A"/>
    <w:rsid w:val="00031CF8"/>
    <w:rsid w:val="00032147"/>
    <w:rsid w:val="000325B8"/>
    <w:rsid w:val="00034C15"/>
    <w:rsid w:val="00036BA1"/>
    <w:rsid w:val="000374F1"/>
    <w:rsid w:val="000411AF"/>
    <w:rsid w:val="00042242"/>
    <w:rsid w:val="000422E2"/>
    <w:rsid w:val="00042F22"/>
    <w:rsid w:val="000444EF"/>
    <w:rsid w:val="00047BBB"/>
    <w:rsid w:val="0005091A"/>
    <w:rsid w:val="0005247D"/>
    <w:rsid w:val="00052A07"/>
    <w:rsid w:val="000534E3"/>
    <w:rsid w:val="0005606A"/>
    <w:rsid w:val="000564E2"/>
    <w:rsid w:val="00057117"/>
    <w:rsid w:val="000616E7"/>
    <w:rsid w:val="00063699"/>
    <w:rsid w:val="00064686"/>
    <w:rsid w:val="0006487E"/>
    <w:rsid w:val="00065E1A"/>
    <w:rsid w:val="00067A79"/>
    <w:rsid w:val="000704EE"/>
    <w:rsid w:val="00071FE1"/>
    <w:rsid w:val="000721DF"/>
    <w:rsid w:val="000738BF"/>
    <w:rsid w:val="000748CD"/>
    <w:rsid w:val="00077E5F"/>
    <w:rsid w:val="0008036A"/>
    <w:rsid w:val="00081AE6"/>
    <w:rsid w:val="000828AF"/>
    <w:rsid w:val="00085117"/>
    <w:rsid w:val="000855EB"/>
    <w:rsid w:val="00085B52"/>
    <w:rsid w:val="000866F2"/>
    <w:rsid w:val="00087F63"/>
    <w:rsid w:val="0009009F"/>
    <w:rsid w:val="00091557"/>
    <w:rsid w:val="000924C1"/>
    <w:rsid w:val="000924F0"/>
    <w:rsid w:val="0009291D"/>
    <w:rsid w:val="00093474"/>
    <w:rsid w:val="00094401"/>
    <w:rsid w:val="0009510F"/>
    <w:rsid w:val="00096451"/>
    <w:rsid w:val="00096DBB"/>
    <w:rsid w:val="000976E2"/>
    <w:rsid w:val="000A05FC"/>
    <w:rsid w:val="000A1868"/>
    <w:rsid w:val="000A1B7B"/>
    <w:rsid w:val="000A1FC3"/>
    <w:rsid w:val="000A56F2"/>
    <w:rsid w:val="000A6162"/>
    <w:rsid w:val="000A6D4F"/>
    <w:rsid w:val="000A71BB"/>
    <w:rsid w:val="000A7709"/>
    <w:rsid w:val="000B2719"/>
    <w:rsid w:val="000B3A8F"/>
    <w:rsid w:val="000B3F4E"/>
    <w:rsid w:val="000B4AB9"/>
    <w:rsid w:val="000B58C3"/>
    <w:rsid w:val="000B61E9"/>
    <w:rsid w:val="000B6775"/>
    <w:rsid w:val="000B68B5"/>
    <w:rsid w:val="000B7B2C"/>
    <w:rsid w:val="000C160C"/>
    <w:rsid w:val="000C165A"/>
    <w:rsid w:val="000C2E19"/>
    <w:rsid w:val="000C5655"/>
    <w:rsid w:val="000C56B3"/>
    <w:rsid w:val="000C6A75"/>
    <w:rsid w:val="000D0D07"/>
    <w:rsid w:val="000D4797"/>
    <w:rsid w:val="000D77D2"/>
    <w:rsid w:val="000D7BA4"/>
    <w:rsid w:val="000E0527"/>
    <w:rsid w:val="000E140C"/>
    <w:rsid w:val="000E1E92"/>
    <w:rsid w:val="000E7617"/>
    <w:rsid w:val="000F06D6"/>
    <w:rsid w:val="000F0EB1"/>
    <w:rsid w:val="000F1106"/>
    <w:rsid w:val="000F1301"/>
    <w:rsid w:val="000F3BE9"/>
    <w:rsid w:val="000F3F6C"/>
    <w:rsid w:val="000F442C"/>
    <w:rsid w:val="000F50EA"/>
    <w:rsid w:val="000F5C0F"/>
    <w:rsid w:val="000F6DF3"/>
    <w:rsid w:val="001005FF"/>
    <w:rsid w:val="00101CDB"/>
    <w:rsid w:val="001027ED"/>
    <w:rsid w:val="00104C06"/>
    <w:rsid w:val="0010573C"/>
    <w:rsid w:val="001062FB"/>
    <w:rsid w:val="001063E6"/>
    <w:rsid w:val="001077D5"/>
    <w:rsid w:val="00107FDC"/>
    <w:rsid w:val="00113CF4"/>
    <w:rsid w:val="001153EA"/>
    <w:rsid w:val="00115643"/>
    <w:rsid w:val="00116765"/>
    <w:rsid w:val="001219F5"/>
    <w:rsid w:val="00121A20"/>
    <w:rsid w:val="00121D8E"/>
    <w:rsid w:val="00122514"/>
    <w:rsid w:val="0012377F"/>
    <w:rsid w:val="00124314"/>
    <w:rsid w:val="001255B4"/>
    <w:rsid w:val="00126B4A"/>
    <w:rsid w:val="0013021E"/>
    <w:rsid w:val="00132FD0"/>
    <w:rsid w:val="001344C0"/>
    <w:rsid w:val="001346FA"/>
    <w:rsid w:val="00135252"/>
    <w:rsid w:val="00135CE6"/>
    <w:rsid w:val="00135F4C"/>
    <w:rsid w:val="00137AB5"/>
    <w:rsid w:val="00137F0B"/>
    <w:rsid w:val="00151E23"/>
    <w:rsid w:val="001526E0"/>
    <w:rsid w:val="00153546"/>
    <w:rsid w:val="001551B5"/>
    <w:rsid w:val="00155A29"/>
    <w:rsid w:val="00160F84"/>
    <w:rsid w:val="0016427D"/>
    <w:rsid w:val="001659C1"/>
    <w:rsid w:val="00173A8E"/>
    <w:rsid w:val="00177795"/>
    <w:rsid w:val="00181001"/>
    <w:rsid w:val="0018143F"/>
    <w:rsid w:val="00182035"/>
    <w:rsid w:val="00190AC1"/>
    <w:rsid w:val="0019341A"/>
    <w:rsid w:val="00197DF9"/>
    <w:rsid w:val="001A0736"/>
    <w:rsid w:val="001A0C82"/>
    <w:rsid w:val="001A10F2"/>
    <w:rsid w:val="001A147A"/>
    <w:rsid w:val="001A1987"/>
    <w:rsid w:val="001A2564"/>
    <w:rsid w:val="001A35CE"/>
    <w:rsid w:val="001A6173"/>
    <w:rsid w:val="001A6CBA"/>
    <w:rsid w:val="001B0AD2"/>
    <w:rsid w:val="001B0D97"/>
    <w:rsid w:val="001B5A5D"/>
    <w:rsid w:val="001C0F9E"/>
    <w:rsid w:val="001C1CE5"/>
    <w:rsid w:val="001C3D2A"/>
    <w:rsid w:val="001D3E53"/>
    <w:rsid w:val="001D51BA"/>
    <w:rsid w:val="001D59A3"/>
    <w:rsid w:val="001D6342"/>
    <w:rsid w:val="001D6D53"/>
    <w:rsid w:val="001E1DC1"/>
    <w:rsid w:val="001E2382"/>
    <w:rsid w:val="001E58E2"/>
    <w:rsid w:val="001E5E9A"/>
    <w:rsid w:val="001E72F6"/>
    <w:rsid w:val="001E7AED"/>
    <w:rsid w:val="001F1F51"/>
    <w:rsid w:val="001F3916"/>
    <w:rsid w:val="001F54C5"/>
    <w:rsid w:val="001F662C"/>
    <w:rsid w:val="001F7074"/>
    <w:rsid w:val="00200490"/>
    <w:rsid w:val="00201F3A"/>
    <w:rsid w:val="00202D87"/>
    <w:rsid w:val="00203F96"/>
    <w:rsid w:val="002069B2"/>
    <w:rsid w:val="002074BF"/>
    <w:rsid w:val="00207FA3"/>
    <w:rsid w:val="002117FB"/>
    <w:rsid w:val="00213B5F"/>
    <w:rsid w:val="00214DA8"/>
    <w:rsid w:val="00215423"/>
    <w:rsid w:val="002158FA"/>
    <w:rsid w:val="00216CB0"/>
    <w:rsid w:val="00220600"/>
    <w:rsid w:val="00221380"/>
    <w:rsid w:val="002224DB"/>
    <w:rsid w:val="00223FCB"/>
    <w:rsid w:val="002246A9"/>
    <w:rsid w:val="002252BA"/>
    <w:rsid w:val="002252C3"/>
    <w:rsid w:val="00225C54"/>
    <w:rsid w:val="00227E2E"/>
    <w:rsid w:val="00230765"/>
    <w:rsid w:val="00230BBD"/>
    <w:rsid w:val="002319E4"/>
    <w:rsid w:val="00235632"/>
    <w:rsid w:val="00235872"/>
    <w:rsid w:val="00236B4E"/>
    <w:rsid w:val="00241559"/>
    <w:rsid w:val="00241EFB"/>
    <w:rsid w:val="002435B3"/>
    <w:rsid w:val="002458EB"/>
    <w:rsid w:val="0024599C"/>
    <w:rsid w:val="00247401"/>
    <w:rsid w:val="002500C8"/>
    <w:rsid w:val="00256492"/>
    <w:rsid w:val="00256964"/>
    <w:rsid w:val="00257543"/>
    <w:rsid w:val="002617E7"/>
    <w:rsid w:val="00264228"/>
    <w:rsid w:val="00264334"/>
    <w:rsid w:val="0026473E"/>
    <w:rsid w:val="00266214"/>
    <w:rsid w:val="002663B4"/>
    <w:rsid w:val="00266C4E"/>
    <w:rsid w:val="00267C83"/>
    <w:rsid w:val="0027144F"/>
    <w:rsid w:val="00271F3A"/>
    <w:rsid w:val="00273278"/>
    <w:rsid w:val="002737F4"/>
    <w:rsid w:val="00275288"/>
    <w:rsid w:val="00275749"/>
    <w:rsid w:val="002805F5"/>
    <w:rsid w:val="00280751"/>
    <w:rsid w:val="00280EBC"/>
    <w:rsid w:val="0028280A"/>
    <w:rsid w:val="002833D7"/>
    <w:rsid w:val="00286ACD"/>
    <w:rsid w:val="00287838"/>
    <w:rsid w:val="00287C08"/>
    <w:rsid w:val="002907B5"/>
    <w:rsid w:val="00292EB7"/>
    <w:rsid w:val="002944F5"/>
    <w:rsid w:val="00296227"/>
    <w:rsid w:val="00296A46"/>
    <w:rsid w:val="00296F44"/>
    <w:rsid w:val="0029777D"/>
    <w:rsid w:val="002A004C"/>
    <w:rsid w:val="002A055E"/>
    <w:rsid w:val="002A1D4E"/>
    <w:rsid w:val="002A2869"/>
    <w:rsid w:val="002A288D"/>
    <w:rsid w:val="002A3CBA"/>
    <w:rsid w:val="002A5A03"/>
    <w:rsid w:val="002B04B9"/>
    <w:rsid w:val="002B0EE6"/>
    <w:rsid w:val="002B24D6"/>
    <w:rsid w:val="002B61CB"/>
    <w:rsid w:val="002B7500"/>
    <w:rsid w:val="002B7F77"/>
    <w:rsid w:val="002C1E2C"/>
    <w:rsid w:val="002C3DBF"/>
    <w:rsid w:val="002C41E6"/>
    <w:rsid w:val="002C7732"/>
    <w:rsid w:val="002C7C0D"/>
    <w:rsid w:val="002C7FB1"/>
    <w:rsid w:val="002D071A"/>
    <w:rsid w:val="002D202F"/>
    <w:rsid w:val="002D34B2"/>
    <w:rsid w:val="002D7637"/>
    <w:rsid w:val="002E17F2"/>
    <w:rsid w:val="002E3898"/>
    <w:rsid w:val="002E5333"/>
    <w:rsid w:val="002E7CAE"/>
    <w:rsid w:val="002F1014"/>
    <w:rsid w:val="002F1C3E"/>
    <w:rsid w:val="002F1F23"/>
    <w:rsid w:val="002F2771"/>
    <w:rsid w:val="002F37A9"/>
    <w:rsid w:val="002F5325"/>
    <w:rsid w:val="002F7FBE"/>
    <w:rsid w:val="00301CE6"/>
    <w:rsid w:val="0030256B"/>
    <w:rsid w:val="00304B5E"/>
    <w:rsid w:val="0030501F"/>
    <w:rsid w:val="0030683B"/>
    <w:rsid w:val="00307220"/>
    <w:rsid w:val="00307BA1"/>
    <w:rsid w:val="00311702"/>
    <w:rsid w:val="00311E82"/>
    <w:rsid w:val="00313FD6"/>
    <w:rsid w:val="003143BD"/>
    <w:rsid w:val="003171DC"/>
    <w:rsid w:val="00317A53"/>
    <w:rsid w:val="003203ED"/>
    <w:rsid w:val="00322C9F"/>
    <w:rsid w:val="00324D23"/>
    <w:rsid w:val="00331751"/>
    <w:rsid w:val="00331B30"/>
    <w:rsid w:val="00334579"/>
    <w:rsid w:val="00334A94"/>
    <w:rsid w:val="00335858"/>
    <w:rsid w:val="00335F1A"/>
    <w:rsid w:val="00336BDA"/>
    <w:rsid w:val="00341025"/>
    <w:rsid w:val="00342BD7"/>
    <w:rsid w:val="00343A07"/>
    <w:rsid w:val="00346DB5"/>
    <w:rsid w:val="003477B1"/>
    <w:rsid w:val="0035491B"/>
    <w:rsid w:val="00357380"/>
    <w:rsid w:val="003602D9"/>
    <w:rsid w:val="003604CE"/>
    <w:rsid w:val="00361112"/>
    <w:rsid w:val="00362A87"/>
    <w:rsid w:val="00363F40"/>
    <w:rsid w:val="0036428B"/>
    <w:rsid w:val="00365FE6"/>
    <w:rsid w:val="00366AF3"/>
    <w:rsid w:val="003672B5"/>
    <w:rsid w:val="00367D97"/>
    <w:rsid w:val="003706B9"/>
    <w:rsid w:val="00370E47"/>
    <w:rsid w:val="00372273"/>
    <w:rsid w:val="0037322D"/>
    <w:rsid w:val="00373947"/>
    <w:rsid w:val="003742AC"/>
    <w:rsid w:val="00375893"/>
    <w:rsid w:val="00376EDA"/>
    <w:rsid w:val="00377CE1"/>
    <w:rsid w:val="00380CAB"/>
    <w:rsid w:val="00385BF0"/>
    <w:rsid w:val="00391E1C"/>
    <w:rsid w:val="00392E69"/>
    <w:rsid w:val="003939FF"/>
    <w:rsid w:val="003960A0"/>
    <w:rsid w:val="00396D14"/>
    <w:rsid w:val="003A10B4"/>
    <w:rsid w:val="003A19C0"/>
    <w:rsid w:val="003A2223"/>
    <w:rsid w:val="003A2A0F"/>
    <w:rsid w:val="003A45A1"/>
    <w:rsid w:val="003A5B0A"/>
    <w:rsid w:val="003A6BAC"/>
    <w:rsid w:val="003A7EF3"/>
    <w:rsid w:val="003B09DD"/>
    <w:rsid w:val="003B159C"/>
    <w:rsid w:val="003B3509"/>
    <w:rsid w:val="003B369F"/>
    <w:rsid w:val="003B36A3"/>
    <w:rsid w:val="003B3976"/>
    <w:rsid w:val="003B460B"/>
    <w:rsid w:val="003B567B"/>
    <w:rsid w:val="003B5EE5"/>
    <w:rsid w:val="003B7FE5"/>
    <w:rsid w:val="003C11C8"/>
    <w:rsid w:val="003C2702"/>
    <w:rsid w:val="003C3781"/>
    <w:rsid w:val="003C5631"/>
    <w:rsid w:val="003C6B80"/>
    <w:rsid w:val="003C7488"/>
    <w:rsid w:val="003C7806"/>
    <w:rsid w:val="003D109F"/>
    <w:rsid w:val="003D2478"/>
    <w:rsid w:val="003D3C45"/>
    <w:rsid w:val="003D4C7A"/>
    <w:rsid w:val="003D5B1F"/>
    <w:rsid w:val="003E0298"/>
    <w:rsid w:val="003E13E9"/>
    <w:rsid w:val="003E15FA"/>
    <w:rsid w:val="003E55E4"/>
    <w:rsid w:val="003E74E3"/>
    <w:rsid w:val="003F05C7"/>
    <w:rsid w:val="003F2CD4"/>
    <w:rsid w:val="003F4AAF"/>
    <w:rsid w:val="003F53F0"/>
    <w:rsid w:val="003F6BBE"/>
    <w:rsid w:val="004000E8"/>
    <w:rsid w:val="00401C30"/>
    <w:rsid w:val="004021FF"/>
    <w:rsid w:val="004026EC"/>
    <w:rsid w:val="00402E2B"/>
    <w:rsid w:val="00403D59"/>
    <w:rsid w:val="0040454E"/>
    <w:rsid w:val="0040512B"/>
    <w:rsid w:val="00405CA5"/>
    <w:rsid w:val="004063AD"/>
    <w:rsid w:val="00407CD3"/>
    <w:rsid w:val="00410134"/>
    <w:rsid w:val="00410B72"/>
    <w:rsid w:val="00410F18"/>
    <w:rsid w:val="0041263E"/>
    <w:rsid w:val="00413AAC"/>
    <w:rsid w:val="00415F94"/>
    <w:rsid w:val="00416854"/>
    <w:rsid w:val="0042036B"/>
    <w:rsid w:val="00421105"/>
    <w:rsid w:val="004242F4"/>
    <w:rsid w:val="004243A9"/>
    <w:rsid w:val="00424C07"/>
    <w:rsid w:val="00427248"/>
    <w:rsid w:val="0043114D"/>
    <w:rsid w:val="00434E4C"/>
    <w:rsid w:val="00435977"/>
    <w:rsid w:val="004364EB"/>
    <w:rsid w:val="00437447"/>
    <w:rsid w:val="00437F03"/>
    <w:rsid w:val="004408A8"/>
    <w:rsid w:val="00441A92"/>
    <w:rsid w:val="00442E4E"/>
    <w:rsid w:val="0044325E"/>
    <w:rsid w:val="00443404"/>
    <w:rsid w:val="0044345B"/>
    <w:rsid w:val="00444F56"/>
    <w:rsid w:val="00446488"/>
    <w:rsid w:val="004467B2"/>
    <w:rsid w:val="004517AA"/>
    <w:rsid w:val="00452CAC"/>
    <w:rsid w:val="004558CA"/>
    <w:rsid w:val="004562DF"/>
    <w:rsid w:val="00457565"/>
    <w:rsid w:val="00457B71"/>
    <w:rsid w:val="004628FA"/>
    <w:rsid w:val="00466580"/>
    <w:rsid w:val="004669E2"/>
    <w:rsid w:val="00470C31"/>
    <w:rsid w:val="004734D0"/>
    <w:rsid w:val="00473D62"/>
    <w:rsid w:val="00474533"/>
    <w:rsid w:val="0047556B"/>
    <w:rsid w:val="0047668C"/>
    <w:rsid w:val="00476847"/>
    <w:rsid w:val="00477768"/>
    <w:rsid w:val="0049121F"/>
    <w:rsid w:val="00492BC5"/>
    <w:rsid w:val="0049375A"/>
    <w:rsid w:val="00493CE5"/>
    <w:rsid w:val="004964F1"/>
    <w:rsid w:val="00497B7F"/>
    <w:rsid w:val="004A16BC"/>
    <w:rsid w:val="004A20A7"/>
    <w:rsid w:val="004A2B94"/>
    <w:rsid w:val="004A4ED3"/>
    <w:rsid w:val="004B09B2"/>
    <w:rsid w:val="004B39F9"/>
    <w:rsid w:val="004B4BD1"/>
    <w:rsid w:val="004B7C0C"/>
    <w:rsid w:val="004C0B82"/>
    <w:rsid w:val="004C0DA6"/>
    <w:rsid w:val="004C2DB9"/>
    <w:rsid w:val="004C3898"/>
    <w:rsid w:val="004D0F2D"/>
    <w:rsid w:val="004D36B1"/>
    <w:rsid w:val="004D7EBD"/>
    <w:rsid w:val="004E2680"/>
    <w:rsid w:val="004E28F9"/>
    <w:rsid w:val="004E41CD"/>
    <w:rsid w:val="004E462E"/>
    <w:rsid w:val="004E56DC"/>
    <w:rsid w:val="004E76F4"/>
    <w:rsid w:val="004F0B4E"/>
    <w:rsid w:val="004F0B6C"/>
    <w:rsid w:val="004F1AB9"/>
    <w:rsid w:val="004F2078"/>
    <w:rsid w:val="004F3A61"/>
    <w:rsid w:val="004F4DA3"/>
    <w:rsid w:val="004F71EE"/>
    <w:rsid w:val="0050063C"/>
    <w:rsid w:val="0050406A"/>
    <w:rsid w:val="00505938"/>
    <w:rsid w:val="00506557"/>
    <w:rsid w:val="0050677A"/>
    <w:rsid w:val="005108D8"/>
    <w:rsid w:val="00511368"/>
    <w:rsid w:val="005116F9"/>
    <w:rsid w:val="0051190F"/>
    <w:rsid w:val="00511EAE"/>
    <w:rsid w:val="005136BA"/>
    <w:rsid w:val="005153A7"/>
    <w:rsid w:val="00515CC8"/>
    <w:rsid w:val="005219CF"/>
    <w:rsid w:val="005225B7"/>
    <w:rsid w:val="00522723"/>
    <w:rsid w:val="005235A3"/>
    <w:rsid w:val="00525865"/>
    <w:rsid w:val="00526278"/>
    <w:rsid w:val="005301C9"/>
    <w:rsid w:val="00534B59"/>
    <w:rsid w:val="005350D5"/>
    <w:rsid w:val="00536759"/>
    <w:rsid w:val="00537326"/>
    <w:rsid w:val="00537C62"/>
    <w:rsid w:val="005444E3"/>
    <w:rsid w:val="00546970"/>
    <w:rsid w:val="00547D57"/>
    <w:rsid w:val="005513DF"/>
    <w:rsid w:val="00551F63"/>
    <w:rsid w:val="00554E19"/>
    <w:rsid w:val="00556F35"/>
    <w:rsid w:val="005576B9"/>
    <w:rsid w:val="00560206"/>
    <w:rsid w:val="00560866"/>
    <w:rsid w:val="0056121F"/>
    <w:rsid w:val="005617F1"/>
    <w:rsid w:val="00566777"/>
    <w:rsid w:val="00572505"/>
    <w:rsid w:val="00577199"/>
    <w:rsid w:val="0057771A"/>
    <w:rsid w:val="005807A5"/>
    <w:rsid w:val="00582809"/>
    <w:rsid w:val="005842CA"/>
    <w:rsid w:val="00587239"/>
    <w:rsid w:val="0058798C"/>
    <w:rsid w:val="005900FA"/>
    <w:rsid w:val="005935A4"/>
    <w:rsid w:val="005948C2"/>
    <w:rsid w:val="00595404"/>
    <w:rsid w:val="00595DCA"/>
    <w:rsid w:val="0059779B"/>
    <w:rsid w:val="00597EEE"/>
    <w:rsid w:val="005A08E3"/>
    <w:rsid w:val="005A209A"/>
    <w:rsid w:val="005A34DF"/>
    <w:rsid w:val="005A4507"/>
    <w:rsid w:val="005A5536"/>
    <w:rsid w:val="005A6589"/>
    <w:rsid w:val="005A662D"/>
    <w:rsid w:val="005B16C9"/>
    <w:rsid w:val="005B35D7"/>
    <w:rsid w:val="005B392A"/>
    <w:rsid w:val="005B3AA3"/>
    <w:rsid w:val="005B591A"/>
    <w:rsid w:val="005B6F83"/>
    <w:rsid w:val="005C72C4"/>
    <w:rsid w:val="005C74FB"/>
    <w:rsid w:val="005C7F0B"/>
    <w:rsid w:val="005D1602"/>
    <w:rsid w:val="005D4567"/>
    <w:rsid w:val="005D6204"/>
    <w:rsid w:val="005E03C7"/>
    <w:rsid w:val="005E0624"/>
    <w:rsid w:val="005E0BA8"/>
    <w:rsid w:val="005E385F"/>
    <w:rsid w:val="005E3D57"/>
    <w:rsid w:val="005E4FF6"/>
    <w:rsid w:val="005E5B81"/>
    <w:rsid w:val="005F2CB1"/>
    <w:rsid w:val="005F3025"/>
    <w:rsid w:val="005F3EC3"/>
    <w:rsid w:val="005F618C"/>
    <w:rsid w:val="005F70BD"/>
    <w:rsid w:val="0060283C"/>
    <w:rsid w:val="00604E95"/>
    <w:rsid w:val="00604F14"/>
    <w:rsid w:val="006064C8"/>
    <w:rsid w:val="00606B97"/>
    <w:rsid w:val="00606F76"/>
    <w:rsid w:val="00607349"/>
    <w:rsid w:val="00611B83"/>
    <w:rsid w:val="00613257"/>
    <w:rsid w:val="00615A03"/>
    <w:rsid w:val="00620A71"/>
    <w:rsid w:val="00620D80"/>
    <w:rsid w:val="006228D6"/>
    <w:rsid w:val="006234A6"/>
    <w:rsid w:val="00625039"/>
    <w:rsid w:val="006259AD"/>
    <w:rsid w:val="00626799"/>
    <w:rsid w:val="00630001"/>
    <w:rsid w:val="006311B3"/>
    <w:rsid w:val="00631CA0"/>
    <w:rsid w:val="0063284C"/>
    <w:rsid w:val="00633771"/>
    <w:rsid w:val="00634746"/>
    <w:rsid w:val="00634E61"/>
    <w:rsid w:val="00636398"/>
    <w:rsid w:val="006368D3"/>
    <w:rsid w:val="00636CC1"/>
    <w:rsid w:val="006377EC"/>
    <w:rsid w:val="00640063"/>
    <w:rsid w:val="0064028D"/>
    <w:rsid w:val="0064151F"/>
    <w:rsid w:val="00641533"/>
    <w:rsid w:val="0064208D"/>
    <w:rsid w:val="0064289B"/>
    <w:rsid w:val="00643475"/>
    <w:rsid w:val="0064396A"/>
    <w:rsid w:val="0064624E"/>
    <w:rsid w:val="006473B5"/>
    <w:rsid w:val="00650AB9"/>
    <w:rsid w:val="00651EEB"/>
    <w:rsid w:val="00653461"/>
    <w:rsid w:val="00653841"/>
    <w:rsid w:val="00654824"/>
    <w:rsid w:val="006555AD"/>
    <w:rsid w:val="006556F7"/>
    <w:rsid w:val="00655733"/>
    <w:rsid w:val="00655ACD"/>
    <w:rsid w:val="00656A92"/>
    <w:rsid w:val="00656DDE"/>
    <w:rsid w:val="0066011D"/>
    <w:rsid w:val="006607C0"/>
    <w:rsid w:val="006613A6"/>
    <w:rsid w:val="006627A2"/>
    <w:rsid w:val="006634E6"/>
    <w:rsid w:val="00663A30"/>
    <w:rsid w:val="0066427F"/>
    <w:rsid w:val="006655EE"/>
    <w:rsid w:val="00665EE9"/>
    <w:rsid w:val="00667EE7"/>
    <w:rsid w:val="006701D8"/>
    <w:rsid w:val="00670922"/>
    <w:rsid w:val="00670BE1"/>
    <w:rsid w:val="0067218F"/>
    <w:rsid w:val="006741F2"/>
    <w:rsid w:val="0067447D"/>
    <w:rsid w:val="00674CC3"/>
    <w:rsid w:val="00675C72"/>
    <w:rsid w:val="006771F9"/>
    <w:rsid w:val="006776D7"/>
    <w:rsid w:val="00677EB7"/>
    <w:rsid w:val="00681003"/>
    <w:rsid w:val="006817C9"/>
    <w:rsid w:val="00683ECE"/>
    <w:rsid w:val="00686B4F"/>
    <w:rsid w:val="00690E8E"/>
    <w:rsid w:val="00690F3D"/>
    <w:rsid w:val="006938D1"/>
    <w:rsid w:val="00695F4A"/>
    <w:rsid w:val="00695FC2"/>
    <w:rsid w:val="00696949"/>
    <w:rsid w:val="00697052"/>
    <w:rsid w:val="00697ED9"/>
    <w:rsid w:val="006A46FB"/>
    <w:rsid w:val="006A5C16"/>
    <w:rsid w:val="006A5E28"/>
    <w:rsid w:val="006A6201"/>
    <w:rsid w:val="006A697B"/>
    <w:rsid w:val="006A7AFF"/>
    <w:rsid w:val="006B12E0"/>
    <w:rsid w:val="006B1816"/>
    <w:rsid w:val="006B2099"/>
    <w:rsid w:val="006B4DFF"/>
    <w:rsid w:val="006B50CF"/>
    <w:rsid w:val="006B54E1"/>
    <w:rsid w:val="006C03B8"/>
    <w:rsid w:val="006C5EC9"/>
    <w:rsid w:val="006C6059"/>
    <w:rsid w:val="006C7522"/>
    <w:rsid w:val="006D07D3"/>
    <w:rsid w:val="006D1E26"/>
    <w:rsid w:val="006D4AFE"/>
    <w:rsid w:val="006D5163"/>
    <w:rsid w:val="006D6F08"/>
    <w:rsid w:val="006E062C"/>
    <w:rsid w:val="006E08E1"/>
    <w:rsid w:val="006E28B7"/>
    <w:rsid w:val="006E3310"/>
    <w:rsid w:val="006E4E39"/>
    <w:rsid w:val="006E4EB2"/>
    <w:rsid w:val="006E565E"/>
    <w:rsid w:val="006E673D"/>
    <w:rsid w:val="006E67BA"/>
    <w:rsid w:val="006E771B"/>
    <w:rsid w:val="006E7732"/>
    <w:rsid w:val="006E7D3B"/>
    <w:rsid w:val="006F1B70"/>
    <w:rsid w:val="006F2DD6"/>
    <w:rsid w:val="006F33D0"/>
    <w:rsid w:val="006F341D"/>
    <w:rsid w:val="006F3CDE"/>
    <w:rsid w:val="006F4B1B"/>
    <w:rsid w:val="006F4E20"/>
    <w:rsid w:val="006F5187"/>
    <w:rsid w:val="006F564C"/>
    <w:rsid w:val="006F58D4"/>
    <w:rsid w:val="006F6DEC"/>
    <w:rsid w:val="006F7E8B"/>
    <w:rsid w:val="0070036D"/>
    <w:rsid w:val="00700EF5"/>
    <w:rsid w:val="00702BC8"/>
    <w:rsid w:val="0070346E"/>
    <w:rsid w:val="00704803"/>
    <w:rsid w:val="00704EDB"/>
    <w:rsid w:val="00706101"/>
    <w:rsid w:val="00707072"/>
    <w:rsid w:val="00707D61"/>
    <w:rsid w:val="00712287"/>
    <w:rsid w:val="00712772"/>
    <w:rsid w:val="00713B05"/>
    <w:rsid w:val="00713BC4"/>
    <w:rsid w:val="007148D3"/>
    <w:rsid w:val="00715B9A"/>
    <w:rsid w:val="00717A8F"/>
    <w:rsid w:val="0072675E"/>
    <w:rsid w:val="00726EA6"/>
    <w:rsid w:val="00727208"/>
    <w:rsid w:val="00727680"/>
    <w:rsid w:val="00730353"/>
    <w:rsid w:val="00733B94"/>
    <w:rsid w:val="007348B1"/>
    <w:rsid w:val="007354FA"/>
    <w:rsid w:val="007360DF"/>
    <w:rsid w:val="007362A6"/>
    <w:rsid w:val="00736D7D"/>
    <w:rsid w:val="007375AC"/>
    <w:rsid w:val="00740E58"/>
    <w:rsid w:val="00741876"/>
    <w:rsid w:val="007445A0"/>
    <w:rsid w:val="0074524B"/>
    <w:rsid w:val="007464B7"/>
    <w:rsid w:val="00747D8B"/>
    <w:rsid w:val="0075086B"/>
    <w:rsid w:val="00750F45"/>
    <w:rsid w:val="00751155"/>
    <w:rsid w:val="007511D1"/>
    <w:rsid w:val="00751228"/>
    <w:rsid w:val="00751308"/>
    <w:rsid w:val="0075143A"/>
    <w:rsid w:val="0075324B"/>
    <w:rsid w:val="007555A8"/>
    <w:rsid w:val="007571E1"/>
    <w:rsid w:val="007604B2"/>
    <w:rsid w:val="00765281"/>
    <w:rsid w:val="0076578D"/>
    <w:rsid w:val="00766BAD"/>
    <w:rsid w:val="007720B8"/>
    <w:rsid w:val="007730BD"/>
    <w:rsid w:val="00773BC0"/>
    <w:rsid w:val="007755F2"/>
    <w:rsid w:val="00775BBA"/>
    <w:rsid w:val="00776971"/>
    <w:rsid w:val="00776EBD"/>
    <w:rsid w:val="0078177E"/>
    <w:rsid w:val="0078304C"/>
    <w:rsid w:val="00783673"/>
    <w:rsid w:val="00785490"/>
    <w:rsid w:val="00790E91"/>
    <w:rsid w:val="007925EA"/>
    <w:rsid w:val="007927A4"/>
    <w:rsid w:val="00792CD4"/>
    <w:rsid w:val="00793CD8"/>
    <w:rsid w:val="00793CDF"/>
    <w:rsid w:val="00795C92"/>
    <w:rsid w:val="00796231"/>
    <w:rsid w:val="007968D3"/>
    <w:rsid w:val="007A1CB3"/>
    <w:rsid w:val="007A2B1B"/>
    <w:rsid w:val="007A306F"/>
    <w:rsid w:val="007A43A6"/>
    <w:rsid w:val="007A4695"/>
    <w:rsid w:val="007A4E1B"/>
    <w:rsid w:val="007A58A6"/>
    <w:rsid w:val="007A70EA"/>
    <w:rsid w:val="007B00E2"/>
    <w:rsid w:val="007B10AD"/>
    <w:rsid w:val="007B25E4"/>
    <w:rsid w:val="007B3D2D"/>
    <w:rsid w:val="007B50AE"/>
    <w:rsid w:val="007B513B"/>
    <w:rsid w:val="007B51DF"/>
    <w:rsid w:val="007B662F"/>
    <w:rsid w:val="007C05DD"/>
    <w:rsid w:val="007C201D"/>
    <w:rsid w:val="007C2CBD"/>
    <w:rsid w:val="007C3D18"/>
    <w:rsid w:val="007C3DBB"/>
    <w:rsid w:val="007C60BF"/>
    <w:rsid w:val="007C6A07"/>
    <w:rsid w:val="007C6B8C"/>
    <w:rsid w:val="007C7235"/>
    <w:rsid w:val="007C75A1"/>
    <w:rsid w:val="007C77A5"/>
    <w:rsid w:val="007D04E5"/>
    <w:rsid w:val="007D1916"/>
    <w:rsid w:val="007D5337"/>
    <w:rsid w:val="007D5901"/>
    <w:rsid w:val="007D7526"/>
    <w:rsid w:val="007E2FB3"/>
    <w:rsid w:val="007E3FAA"/>
    <w:rsid w:val="007E4610"/>
    <w:rsid w:val="007E4715"/>
    <w:rsid w:val="007E505B"/>
    <w:rsid w:val="007E654B"/>
    <w:rsid w:val="007E6C25"/>
    <w:rsid w:val="007E7091"/>
    <w:rsid w:val="007E7F16"/>
    <w:rsid w:val="007F1EBE"/>
    <w:rsid w:val="007F4553"/>
    <w:rsid w:val="007F5424"/>
    <w:rsid w:val="00802018"/>
    <w:rsid w:val="00803FAE"/>
    <w:rsid w:val="0080605F"/>
    <w:rsid w:val="00806DD5"/>
    <w:rsid w:val="008072D7"/>
    <w:rsid w:val="00807786"/>
    <w:rsid w:val="00810130"/>
    <w:rsid w:val="00811FCB"/>
    <w:rsid w:val="008127C0"/>
    <w:rsid w:val="008149A2"/>
    <w:rsid w:val="008158D6"/>
    <w:rsid w:val="00817196"/>
    <w:rsid w:val="0081769A"/>
    <w:rsid w:val="00822285"/>
    <w:rsid w:val="00823026"/>
    <w:rsid w:val="008235DB"/>
    <w:rsid w:val="00823A82"/>
    <w:rsid w:val="00824637"/>
    <w:rsid w:val="008246D3"/>
    <w:rsid w:val="00824AB4"/>
    <w:rsid w:val="00825AEC"/>
    <w:rsid w:val="00825C42"/>
    <w:rsid w:val="00825D25"/>
    <w:rsid w:val="008261DF"/>
    <w:rsid w:val="00827604"/>
    <w:rsid w:val="00827D6F"/>
    <w:rsid w:val="00831C50"/>
    <w:rsid w:val="0083206D"/>
    <w:rsid w:val="008376AC"/>
    <w:rsid w:val="00840FE0"/>
    <w:rsid w:val="00842309"/>
    <w:rsid w:val="008444E8"/>
    <w:rsid w:val="00844E80"/>
    <w:rsid w:val="00846FE7"/>
    <w:rsid w:val="00854F97"/>
    <w:rsid w:val="00855821"/>
    <w:rsid w:val="00856911"/>
    <w:rsid w:val="00860465"/>
    <w:rsid w:val="008630C5"/>
    <w:rsid w:val="00863409"/>
    <w:rsid w:val="00865EC6"/>
    <w:rsid w:val="008677FD"/>
    <w:rsid w:val="00870500"/>
    <w:rsid w:val="008706D4"/>
    <w:rsid w:val="00870F8A"/>
    <w:rsid w:val="008719A4"/>
    <w:rsid w:val="00871D23"/>
    <w:rsid w:val="00874312"/>
    <w:rsid w:val="0087437C"/>
    <w:rsid w:val="0087447C"/>
    <w:rsid w:val="00875C01"/>
    <w:rsid w:val="00875CD7"/>
    <w:rsid w:val="00876B4D"/>
    <w:rsid w:val="00877CEA"/>
    <w:rsid w:val="00877F18"/>
    <w:rsid w:val="008811B9"/>
    <w:rsid w:val="0088278A"/>
    <w:rsid w:val="00884455"/>
    <w:rsid w:val="00884D53"/>
    <w:rsid w:val="00885367"/>
    <w:rsid w:val="00894A88"/>
    <w:rsid w:val="00895386"/>
    <w:rsid w:val="00897382"/>
    <w:rsid w:val="008A1BB3"/>
    <w:rsid w:val="008A21FF"/>
    <w:rsid w:val="008A2CE2"/>
    <w:rsid w:val="008A30AC"/>
    <w:rsid w:val="008A405E"/>
    <w:rsid w:val="008A44B8"/>
    <w:rsid w:val="008A450C"/>
    <w:rsid w:val="008A51A8"/>
    <w:rsid w:val="008A54C7"/>
    <w:rsid w:val="008A6294"/>
    <w:rsid w:val="008A77D8"/>
    <w:rsid w:val="008B0483"/>
    <w:rsid w:val="008B120C"/>
    <w:rsid w:val="008B1694"/>
    <w:rsid w:val="008B51A0"/>
    <w:rsid w:val="008B592A"/>
    <w:rsid w:val="008B7B5C"/>
    <w:rsid w:val="008C0C99"/>
    <w:rsid w:val="008C2017"/>
    <w:rsid w:val="008C319F"/>
    <w:rsid w:val="008C44F9"/>
    <w:rsid w:val="008C46C2"/>
    <w:rsid w:val="008C4958"/>
    <w:rsid w:val="008C4BAA"/>
    <w:rsid w:val="008C6AE8"/>
    <w:rsid w:val="008C7573"/>
    <w:rsid w:val="008D08CC"/>
    <w:rsid w:val="008D34F1"/>
    <w:rsid w:val="008D39D8"/>
    <w:rsid w:val="008D3B08"/>
    <w:rsid w:val="008D6D1A"/>
    <w:rsid w:val="008E065E"/>
    <w:rsid w:val="008E0927"/>
    <w:rsid w:val="008E1909"/>
    <w:rsid w:val="008E6669"/>
    <w:rsid w:val="008F0B2C"/>
    <w:rsid w:val="008F1EAB"/>
    <w:rsid w:val="008F33DC"/>
    <w:rsid w:val="008F42A8"/>
    <w:rsid w:val="008F477F"/>
    <w:rsid w:val="008F55F2"/>
    <w:rsid w:val="008F633F"/>
    <w:rsid w:val="008F6452"/>
    <w:rsid w:val="00900CE1"/>
    <w:rsid w:val="00902350"/>
    <w:rsid w:val="0090336B"/>
    <w:rsid w:val="0090374F"/>
    <w:rsid w:val="009053AA"/>
    <w:rsid w:val="00906939"/>
    <w:rsid w:val="009079CF"/>
    <w:rsid w:val="009101F6"/>
    <w:rsid w:val="00910B7D"/>
    <w:rsid w:val="00911DFB"/>
    <w:rsid w:val="00912BED"/>
    <w:rsid w:val="009139D9"/>
    <w:rsid w:val="00914AD8"/>
    <w:rsid w:val="00914DB8"/>
    <w:rsid w:val="00916079"/>
    <w:rsid w:val="00917CE9"/>
    <w:rsid w:val="00920BF2"/>
    <w:rsid w:val="0092105C"/>
    <w:rsid w:val="00922010"/>
    <w:rsid w:val="0092364D"/>
    <w:rsid w:val="00930525"/>
    <w:rsid w:val="00931BD9"/>
    <w:rsid w:val="00933B3E"/>
    <w:rsid w:val="00934850"/>
    <w:rsid w:val="00934E15"/>
    <w:rsid w:val="009368F3"/>
    <w:rsid w:val="009407B1"/>
    <w:rsid w:val="00941636"/>
    <w:rsid w:val="009423C9"/>
    <w:rsid w:val="00943742"/>
    <w:rsid w:val="00945C05"/>
    <w:rsid w:val="00946945"/>
    <w:rsid w:val="00947713"/>
    <w:rsid w:val="009502C3"/>
    <w:rsid w:val="00950DE7"/>
    <w:rsid w:val="00951081"/>
    <w:rsid w:val="00953920"/>
    <w:rsid w:val="00953D47"/>
    <w:rsid w:val="0095681E"/>
    <w:rsid w:val="0095700C"/>
    <w:rsid w:val="009572D4"/>
    <w:rsid w:val="009612C1"/>
    <w:rsid w:val="009618AC"/>
    <w:rsid w:val="00961921"/>
    <w:rsid w:val="0096430A"/>
    <w:rsid w:val="009650BC"/>
    <w:rsid w:val="0096554B"/>
    <w:rsid w:val="0096584A"/>
    <w:rsid w:val="00971F08"/>
    <w:rsid w:val="009721A2"/>
    <w:rsid w:val="0097603D"/>
    <w:rsid w:val="00976949"/>
    <w:rsid w:val="0097766D"/>
    <w:rsid w:val="00980477"/>
    <w:rsid w:val="00980B2E"/>
    <w:rsid w:val="00982949"/>
    <w:rsid w:val="00985253"/>
    <w:rsid w:val="009853B3"/>
    <w:rsid w:val="00990630"/>
    <w:rsid w:val="00990C41"/>
    <w:rsid w:val="00991761"/>
    <w:rsid w:val="00991889"/>
    <w:rsid w:val="00991B61"/>
    <w:rsid w:val="00994DCA"/>
    <w:rsid w:val="009960EC"/>
    <w:rsid w:val="009970DD"/>
    <w:rsid w:val="009A0FBA"/>
    <w:rsid w:val="009A1601"/>
    <w:rsid w:val="009A3F94"/>
    <w:rsid w:val="009A462D"/>
    <w:rsid w:val="009A5CBA"/>
    <w:rsid w:val="009A5E15"/>
    <w:rsid w:val="009B007F"/>
    <w:rsid w:val="009B1F30"/>
    <w:rsid w:val="009B2BB8"/>
    <w:rsid w:val="009B3AC2"/>
    <w:rsid w:val="009B473E"/>
    <w:rsid w:val="009B4D8D"/>
    <w:rsid w:val="009B4DF4"/>
    <w:rsid w:val="009B564E"/>
    <w:rsid w:val="009B5CF8"/>
    <w:rsid w:val="009B7E82"/>
    <w:rsid w:val="009B7E87"/>
    <w:rsid w:val="009C1FEA"/>
    <w:rsid w:val="009C403E"/>
    <w:rsid w:val="009C4FD1"/>
    <w:rsid w:val="009C5D2A"/>
    <w:rsid w:val="009C64AE"/>
    <w:rsid w:val="009D1CDB"/>
    <w:rsid w:val="009D2A6E"/>
    <w:rsid w:val="009D3FBA"/>
    <w:rsid w:val="009D49DD"/>
    <w:rsid w:val="009D4FF0"/>
    <w:rsid w:val="009D703C"/>
    <w:rsid w:val="009D718F"/>
    <w:rsid w:val="009D7854"/>
    <w:rsid w:val="009E068F"/>
    <w:rsid w:val="009E14E0"/>
    <w:rsid w:val="009E35DB"/>
    <w:rsid w:val="009E4508"/>
    <w:rsid w:val="009E47A3"/>
    <w:rsid w:val="009F08F3"/>
    <w:rsid w:val="009F344F"/>
    <w:rsid w:val="00A016CB"/>
    <w:rsid w:val="00A0296F"/>
    <w:rsid w:val="00A03593"/>
    <w:rsid w:val="00A048A8"/>
    <w:rsid w:val="00A04F49"/>
    <w:rsid w:val="00A05D4C"/>
    <w:rsid w:val="00A06B2E"/>
    <w:rsid w:val="00A11DD8"/>
    <w:rsid w:val="00A11F81"/>
    <w:rsid w:val="00A12F20"/>
    <w:rsid w:val="00A13E54"/>
    <w:rsid w:val="00A14A8B"/>
    <w:rsid w:val="00A17F63"/>
    <w:rsid w:val="00A2052C"/>
    <w:rsid w:val="00A2186B"/>
    <w:rsid w:val="00A2193B"/>
    <w:rsid w:val="00A22E77"/>
    <w:rsid w:val="00A2351A"/>
    <w:rsid w:val="00A262DE"/>
    <w:rsid w:val="00A264A9"/>
    <w:rsid w:val="00A27785"/>
    <w:rsid w:val="00A27AC6"/>
    <w:rsid w:val="00A30187"/>
    <w:rsid w:val="00A320F7"/>
    <w:rsid w:val="00A327BD"/>
    <w:rsid w:val="00A3448A"/>
    <w:rsid w:val="00A353EC"/>
    <w:rsid w:val="00A36297"/>
    <w:rsid w:val="00A41E2B"/>
    <w:rsid w:val="00A45B74"/>
    <w:rsid w:val="00A475F9"/>
    <w:rsid w:val="00A4767B"/>
    <w:rsid w:val="00A509EE"/>
    <w:rsid w:val="00A50D0A"/>
    <w:rsid w:val="00A51DB2"/>
    <w:rsid w:val="00A525E8"/>
    <w:rsid w:val="00A52E1D"/>
    <w:rsid w:val="00A57283"/>
    <w:rsid w:val="00A600B5"/>
    <w:rsid w:val="00A61499"/>
    <w:rsid w:val="00A6161E"/>
    <w:rsid w:val="00A6214C"/>
    <w:rsid w:val="00A6230B"/>
    <w:rsid w:val="00A62981"/>
    <w:rsid w:val="00A62A77"/>
    <w:rsid w:val="00A63483"/>
    <w:rsid w:val="00A64ACB"/>
    <w:rsid w:val="00A657D7"/>
    <w:rsid w:val="00A660AC"/>
    <w:rsid w:val="00A66F55"/>
    <w:rsid w:val="00A67D0B"/>
    <w:rsid w:val="00A67E6C"/>
    <w:rsid w:val="00A70086"/>
    <w:rsid w:val="00A71B99"/>
    <w:rsid w:val="00A739D0"/>
    <w:rsid w:val="00A761D4"/>
    <w:rsid w:val="00A773A9"/>
    <w:rsid w:val="00A77EC4"/>
    <w:rsid w:val="00A807ED"/>
    <w:rsid w:val="00A8338E"/>
    <w:rsid w:val="00A86E45"/>
    <w:rsid w:val="00A91BFB"/>
    <w:rsid w:val="00A92879"/>
    <w:rsid w:val="00A929ED"/>
    <w:rsid w:val="00A9442A"/>
    <w:rsid w:val="00A9559D"/>
    <w:rsid w:val="00AA016F"/>
    <w:rsid w:val="00AA19BA"/>
    <w:rsid w:val="00AA1ED6"/>
    <w:rsid w:val="00AA2E71"/>
    <w:rsid w:val="00AA3704"/>
    <w:rsid w:val="00AA51D6"/>
    <w:rsid w:val="00AB0BC8"/>
    <w:rsid w:val="00AB11CA"/>
    <w:rsid w:val="00AB14D9"/>
    <w:rsid w:val="00AB36D6"/>
    <w:rsid w:val="00AB4AB8"/>
    <w:rsid w:val="00AB655E"/>
    <w:rsid w:val="00AB6E9D"/>
    <w:rsid w:val="00AC007F"/>
    <w:rsid w:val="00AC0437"/>
    <w:rsid w:val="00AC2ECD"/>
    <w:rsid w:val="00AC3119"/>
    <w:rsid w:val="00AC49FB"/>
    <w:rsid w:val="00AC5A10"/>
    <w:rsid w:val="00AD0AA3"/>
    <w:rsid w:val="00AD0F6A"/>
    <w:rsid w:val="00AD2B2E"/>
    <w:rsid w:val="00AD3F94"/>
    <w:rsid w:val="00AD4A5A"/>
    <w:rsid w:val="00AD7BED"/>
    <w:rsid w:val="00AE1171"/>
    <w:rsid w:val="00AE24A7"/>
    <w:rsid w:val="00AE27AC"/>
    <w:rsid w:val="00AE3581"/>
    <w:rsid w:val="00AE3743"/>
    <w:rsid w:val="00AE40E0"/>
    <w:rsid w:val="00AE4DBA"/>
    <w:rsid w:val="00AE4F07"/>
    <w:rsid w:val="00AF1C5D"/>
    <w:rsid w:val="00AF42D7"/>
    <w:rsid w:val="00AF653B"/>
    <w:rsid w:val="00AF7A0C"/>
    <w:rsid w:val="00AF7E29"/>
    <w:rsid w:val="00B006FE"/>
    <w:rsid w:val="00B007CB"/>
    <w:rsid w:val="00B024DA"/>
    <w:rsid w:val="00B02AA9"/>
    <w:rsid w:val="00B02FA3"/>
    <w:rsid w:val="00B05084"/>
    <w:rsid w:val="00B06511"/>
    <w:rsid w:val="00B10A9B"/>
    <w:rsid w:val="00B157F9"/>
    <w:rsid w:val="00B20256"/>
    <w:rsid w:val="00B20D09"/>
    <w:rsid w:val="00B22D38"/>
    <w:rsid w:val="00B2763F"/>
    <w:rsid w:val="00B27AAC"/>
    <w:rsid w:val="00B30929"/>
    <w:rsid w:val="00B3398F"/>
    <w:rsid w:val="00B372AA"/>
    <w:rsid w:val="00B40445"/>
    <w:rsid w:val="00B41510"/>
    <w:rsid w:val="00B41888"/>
    <w:rsid w:val="00B45A52"/>
    <w:rsid w:val="00B46175"/>
    <w:rsid w:val="00B5265C"/>
    <w:rsid w:val="00B55B8D"/>
    <w:rsid w:val="00B6188F"/>
    <w:rsid w:val="00B62A83"/>
    <w:rsid w:val="00B639EB"/>
    <w:rsid w:val="00B664C7"/>
    <w:rsid w:val="00B72F4F"/>
    <w:rsid w:val="00B739F6"/>
    <w:rsid w:val="00B74E05"/>
    <w:rsid w:val="00B81A6C"/>
    <w:rsid w:val="00B85DE5"/>
    <w:rsid w:val="00B90502"/>
    <w:rsid w:val="00B90F73"/>
    <w:rsid w:val="00B924D8"/>
    <w:rsid w:val="00B93B59"/>
    <w:rsid w:val="00B9406A"/>
    <w:rsid w:val="00B96F5B"/>
    <w:rsid w:val="00BA2280"/>
    <w:rsid w:val="00BA2A08"/>
    <w:rsid w:val="00BA45B5"/>
    <w:rsid w:val="00BA56D2"/>
    <w:rsid w:val="00BA76E0"/>
    <w:rsid w:val="00BB0319"/>
    <w:rsid w:val="00BB0C2E"/>
    <w:rsid w:val="00BB12D5"/>
    <w:rsid w:val="00BB2A25"/>
    <w:rsid w:val="00BB51E9"/>
    <w:rsid w:val="00BC0672"/>
    <w:rsid w:val="00BC0FDC"/>
    <w:rsid w:val="00BC3053"/>
    <w:rsid w:val="00BC4D2E"/>
    <w:rsid w:val="00BC55ED"/>
    <w:rsid w:val="00BC5A95"/>
    <w:rsid w:val="00BC6400"/>
    <w:rsid w:val="00BD085B"/>
    <w:rsid w:val="00BD1BAD"/>
    <w:rsid w:val="00BD2471"/>
    <w:rsid w:val="00BD2499"/>
    <w:rsid w:val="00BD48AC"/>
    <w:rsid w:val="00BD5F1A"/>
    <w:rsid w:val="00BD727C"/>
    <w:rsid w:val="00BE1234"/>
    <w:rsid w:val="00BE2FA6"/>
    <w:rsid w:val="00BE333F"/>
    <w:rsid w:val="00BE54E9"/>
    <w:rsid w:val="00BE7406"/>
    <w:rsid w:val="00BE7603"/>
    <w:rsid w:val="00BF31C0"/>
    <w:rsid w:val="00BF3279"/>
    <w:rsid w:val="00BF3B64"/>
    <w:rsid w:val="00BF74C7"/>
    <w:rsid w:val="00C015F1"/>
    <w:rsid w:val="00C01F33"/>
    <w:rsid w:val="00C02CC6"/>
    <w:rsid w:val="00C040F7"/>
    <w:rsid w:val="00C041B0"/>
    <w:rsid w:val="00C044AB"/>
    <w:rsid w:val="00C05318"/>
    <w:rsid w:val="00C05706"/>
    <w:rsid w:val="00C0711D"/>
    <w:rsid w:val="00C07377"/>
    <w:rsid w:val="00C07993"/>
    <w:rsid w:val="00C10478"/>
    <w:rsid w:val="00C12107"/>
    <w:rsid w:val="00C12563"/>
    <w:rsid w:val="00C14D4B"/>
    <w:rsid w:val="00C154BB"/>
    <w:rsid w:val="00C211F5"/>
    <w:rsid w:val="00C220F1"/>
    <w:rsid w:val="00C234AB"/>
    <w:rsid w:val="00C238B3"/>
    <w:rsid w:val="00C24345"/>
    <w:rsid w:val="00C26921"/>
    <w:rsid w:val="00C279B5"/>
    <w:rsid w:val="00C27C45"/>
    <w:rsid w:val="00C33782"/>
    <w:rsid w:val="00C3659E"/>
    <w:rsid w:val="00C3719D"/>
    <w:rsid w:val="00C373A4"/>
    <w:rsid w:val="00C40B35"/>
    <w:rsid w:val="00C40EE6"/>
    <w:rsid w:val="00C42080"/>
    <w:rsid w:val="00C42451"/>
    <w:rsid w:val="00C42B6D"/>
    <w:rsid w:val="00C43D14"/>
    <w:rsid w:val="00C449B5"/>
    <w:rsid w:val="00C44DDF"/>
    <w:rsid w:val="00C45260"/>
    <w:rsid w:val="00C45CC0"/>
    <w:rsid w:val="00C461A6"/>
    <w:rsid w:val="00C511C7"/>
    <w:rsid w:val="00C53003"/>
    <w:rsid w:val="00C538AB"/>
    <w:rsid w:val="00C54639"/>
    <w:rsid w:val="00C54995"/>
    <w:rsid w:val="00C54D41"/>
    <w:rsid w:val="00C56812"/>
    <w:rsid w:val="00C60231"/>
    <w:rsid w:val="00C60783"/>
    <w:rsid w:val="00C6423C"/>
    <w:rsid w:val="00C64672"/>
    <w:rsid w:val="00C70649"/>
    <w:rsid w:val="00C70697"/>
    <w:rsid w:val="00C72EF4"/>
    <w:rsid w:val="00C74854"/>
    <w:rsid w:val="00C75697"/>
    <w:rsid w:val="00C75D2F"/>
    <w:rsid w:val="00C767BE"/>
    <w:rsid w:val="00C76E3C"/>
    <w:rsid w:val="00C77689"/>
    <w:rsid w:val="00C81568"/>
    <w:rsid w:val="00C8266E"/>
    <w:rsid w:val="00C9027A"/>
    <w:rsid w:val="00C9068E"/>
    <w:rsid w:val="00C91B88"/>
    <w:rsid w:val="00C93C4B"/>
    <w:rsid w:val="00C944AB"/>
    <w:rsid w:val="00C95B40"/>
    <w:rsid w:val="00CA1ED8"/>
    <w:rsid w:val="00CA7A7C"/>
    <w:rsid w:val="00CB1F63"/>
    <w:rsid w:val="00CB2BE7"/>
    <w:rsid w:val="00CB3EB7"/>
    <w:rsid w:val="00CB450C"/>
    <w:rsid w:val="00CB64BB"/>
    <w:rsid w:val="00CB653A"/>
    <w:rsid w:val="00CB7170"/>
    <w:rsid w:val="00CB7A9F"/>
    <w:rsid w:val="00CC040E"/>
    <w:rsid w:val="00CC111F"/>
    <w:rsid w:val="00CC196D"/>
    <w:rsid w:val="00CC2011"/>
    <w:rsid w:val="00CC2841"/>
    <w:rsid w:val="00CC3EA0"/>
    <w:rsid w:val="00CC5FD1"/>
    <w:rsid w:val="00CC6209"/>
    <w:rsid w:val="00CC793B"/>
    <w:rsid w:val="00CC7B45"/>
    <w:rsid w:val="00CD1188"/>
    <w:rsid w:val="00CD2ED1"/>
    <w:rsid w:val="00CD337B"/>
    <w:rsid w:val="00CD3CF1"/>
    <w:rsid w:val="00CD679B"/>
    <w:rsid w:val="00CD6B28"/>
    <w:rsid w:val="00CD7AF7"/>
    <w:rsid w:val="00CE0424"/>
    <w:rsid w:val="00CE0D26"/>
    <w:rsid w:val="00CE0DFB"/>
    <w:rsid w:val="00CE0E48"/>
    <w:rsid w:val="00CE197C"/>
    <w:rsid w:val="00CE4ED2"/>
    <w:rsid w:val="00CE7561"/>
    <w:rsid w:val="00CF1354"/>
    <w:rsid w:val="00CF1671"/>
    <w:rsid w:val="00CF20DF"/>
    <w:rsid w:val="00CF31DA"/>
    <w:rsid w:val="00CF3B1F"/>
    <w:rsid w:val="00CF3BF6"/>
    <w:rsid w:val="00CF625B"/>
    <w:rsid w:val="00CF687E"/>
    <w:rsid w:val="00D0349B"/>
    <w:rsid w:val="00D10249"/>
    <w:rsid w:val="00D115C3"/>
    <w:rsid w:val="00D11897"/>
    <w:rsid w:val="00D127A2"/>
    <w:rsid w:val="00D13135"/>
    <w:rsid w:val="00D1331E"/>
    <w:rsid w:val="00D13E4E"/>
    <w:rsid w:val="00D142BE"/>
    <w:rsid w:val="00D201FF"/>
    <w:rsid w:val="00D239A7"/>
    <w:rsid w:val="00D23F47"/>
    <w:rsid w:val="00D2619F"/>
    <w:rsid w:val="00D269ED"/>
    <w:rsid w:val="00D27EA3"/>
    <w:rsid w:val="00D309E8"/>
    <w:rsid w:val="00D323F0"/>
    <w:rsid w:val="00D35C64"/>
    <w:rsid w:val="00D36E70"/>
    <w:rsid w:val="00D36E71"/>
    <w:rsid w:val="00D37D87"/>
    <w:rsid w:val="00D40B33"/>
    <w:rsid w:val="00D42F57"/>
    <w:rsid w:val="00D4318F"/>
    <w:rsid w:val="00D43646"/>
    <w:rsid w:val="00D438BF"/>
    <w:rsid w:val="00D440F8"/>
    <w:rsid w:val="00D50109"/>
    <w:rsid w:val="00D50F97"/>
    <w:rsid w:val="00D53385"/>
    <w:rsid w:val="00D546FF"/>
    <w:rsid w:val="00D54F27"/>
    <w:rsid w:val="00D55AD5"/>
    <w:rsid w:val="00D576CA"/>
    <w:rsid w:val="00D579DA"/>
    <w:rsid w:val="00D61AF5"/>
    <w:rsid w:val="00D62592"/>
    <w:rsid w:val="00D652B5"/>
    <w:rsid w:val="00D6607D"/>
    <w:rsid w:val="00D66155"/>
    <w:rsid w:val="00D70441"/>
    <w:rsid w:val="00D708B0"/>
    <w:rsid w:val="00D739EC"/>
    <w:rsid w:val="00D74408"/>
    <w:rsid w:val="00D77B1D"/>
    <w:rsid w:val="00D8021F"/>
    <w:rsid w:val="00D80383"/>
    <w:rsid w:val="00D814B9"/>
    <w:rsid w:val="00D823C6"/>
    <w:rsid w:val="00D8532D"/>
    <w:rsid w:val="00D86CA3"/>
    <w:rsid w:val="00D871CE"/>
    <w:rsid w:val="00D907E3"/>
    <w:rsid w:val="00D9196D"/>
    <w:rsid w:val="00D92982"/>
    <w:rsid w:val="00D97650"/>
    <w:rsid w:val="00D977C7"/>
    <w:rsid w:val="00D97DFF"/>
    <w:rsid w:val="00DA055B"/>
    <w:rsid w:val="00DA1568"/>
    <w:rsid w:val="00DA2409"/>
    <w:rsid w:val="00DA305E"/>
    <w:rsid w:val="00DA4E60"/>
    <w:rsid w:val="00DA5417"/>
    <w:rsid w:val="00DA56E8"/>
    <w:rsid w:val="00DA56EE"/>
    <w:rsid w:val="00DB08A1"/>
    <w:rsid w:val="00DB0A9F"/>
    <w:rsid w:val="00DB131F"/>
    <w:rsid w:val="00DB1C0E"/>
    <w:rsid w:val="00DB262C"/>
    <w:rsid w:val="00DB377D"/>
    <w:rsid w:val="00DC29FA"/>
    <w:rsid w:val="00DC2D36"/>
    <w:rsid w:val="00DC32AE"/>
    <w:rsid w:val="00DC53EF"/>
    <w:rsid w:val="00DC54B6"/>
    <w:rsid w:val="00DD11C3"/>
    <w:rsid w:val="00DD2874"/>
    <w:rsid w:val="00DE5608"/>
    <w:rsid w:val="00DE58D0"/>
    <w:rsid w:val="00DE654F"/>
    <w:rsid w:val="00DF0B6E"/>
    <w:rsid w:val="00DF15E0"/>
    <w:rsid w:val="00DF2C00"/>
    <w:rsid w:val="00DF37A0"/>
    <w:rsid w:val="00DF3A4B"/>
    <w:rsid w:val="00DF50BF"/>
    <w:rsid w:val="00E0296A"/>
    <w:rsid w:val="00E03692"/>
    <w:rsid w:val="00E04DAF"/>
    <w:rsid w:val="00E110E7"/>
    <w:rsid w:val="00E11B20"/>
    <w:rsid w:val="00E11CA5"/>
    <w:rsid w:val="00E14487"/>
    <w:rsid w:val="00E17568"/>
    <w:rsid w:val="00E17FA2"/>
    <w:rsid w:val="00E22330"/>
    <w:rsid w:val="00E24C98"/>
    <w:rsid w:val="00E30B5A"/>
    <w:rsid w:val="00E3123D"/>
    <w:rsid w:val="00E31461"/>
    <w:rsid w:val="00E31D43"/>
    <w:rsid w:val="00E32608"/>
    <w:rsid w:val="00E34188"/>
    <w:rsid w:val="00E34B6E"/>
    <w:rsid w:val="00E35559"/>
    <w:rsid w:val="00E36E2A"/>
    <w:rsid w:val="00E3723A"/>
    <w:rsid w:val="00E37860"/>
    <w:rsid w:val="00E404FC"/>
    <w:rsid w:val="00E410C4"/>
    <w:rsid w:val="00E43556"/>
    <w:rsid w:val="00E446F1"/>
    <w:rsid w:val="00E46886"/>
    <w:rsid w:val="00E4733A"/>
    <w:rsid w:val="00E47AEF"/>
    <w:rsid w:val="00E500D3"/>
    <w:rsid w:val="00E5021C"/>
    <w:rsid w:val="00E504F9"/>
    <w:rsid w:val="00E511FF"/>
    <w:rsid w:val="00E533C6"/>
    <w:rsid w:val="00E53B75"/>
    <w:rsid w:val="00E54E3B"/>
    <w:rsid w:val="00E553A7"/>
    <w:rsid w:val="00E57565"/>
    <w:rsid w:val="00E61BFA"/>
    <w:rsid w:val="00E63838"/>
    <w:rsid w:val="00E64434"/>
    <w:rsid w:val="00E655DA"/>
    <w:rsid w:val="00E67C51"/>
    <w:rsid w:val="00E70C38"/>
    <w:rsid w:val="00E72EFC"/>
    <w:rsid w:val="00E73AC3"/>
    <w:rsid w:val="00E73DD6"/>
    <w:rsid w:val="00E758EC"/>
    <w:rsid w:val="00E8234C"/>
    <w:rsid w:val="00E83AA9"/>
    <w:rsid w:val="00E85530"/>
    <w:rsid w:val="00E85928"/>
    <w:rsid w:val="00E87822"/>
    <w:rsid w:val="00E902C8"/>
    <w:rsid w:val="00E90395"/>
    <w:rsid w:val="00E90E49"/>
    <w:rsid w:val="00E917F9"/>
    <w:rsid w:val="00E9291C"/>
    <w:rsid w:val="00E93FFE"/>
    <w:rsid w:val="00E94F8A"/>
    <w:rsid w:val="00E96659"/>
    <w:rsid w:val="00EA02CA"/>
    <w:rsid w:val="00EA655E"/>
    <w:rsid w:val="00EA7694"/>
    <w:rsid w:val="00EA7A41"/>
    <w:rsid w:val="00EB077B"/>
    <w:rsid w:val="00EB1EF6"/>
    <w:rsid w:val="00EB367C"/>
    <w:rsid w:val="00EB4EA2"/>
    <w:rsid w:val="00EC27C6"/>
    <w:rsid w:val="00EC4207"/>
    <w:rsid w:val="00EC5653"/>
    <w:rsid w:val="00EC71CE"/>
    <w:rsid w:val="00ED0A5C"/>
    <w:rsid w:val="00ED0C71"/>
    <w:rsid w:val="00ED1006"/>
    <w:rsid w:val="00ED271A"/>
    <w:rsid w:val="00ED5696"/>
    <w:rsid w:val="00ED62BE"/>
    <w:rsid w:val="00ED6927"/>
    <w:rsid w:val="00ED75AA"/>
    <w:rsid w:val="00EE05DB"/>
    <w:rsid w:val="00EE20A1"/>
    <w:rsid w:val="00EE2505"/>
    <w:rsid w:val="00EF182E"/>
    <w:rsid w:val="00EF18FE"/>
    <w:rsid w:val="00EF3DB5"/>
    <w:rsid w:val="00EF4A61"/>
    <w:rsid w:val="00EF5787"/>
    <w:rsid w:val="00EF60D0"/>
    <w:rsid w:val="00F0206C"/>
    <w:rsid w:val="00F04C3B"/>
    <w:rsid w:val="00F0528D"/>
    <w:rsid w:val="00F06C67"/>
    <w:rsid w:val="00F06DFD"/>
    <w:rsid w:val="00F071D1"/>
    <w:rsid w:val="00F07533"/>
    <w:rsid w:val="00F10238"/>
    <w:rsid w:val="00F10629"/>
    <w:rsid w:val="00F14296"/>
    <w:rsid w:val="00F148E6"/>
    <w:rsid w:val="00F14934"/>
    <w:rsid w:val="00F14D60"/>
    <w:rsid w:val="00F15FA5"/>
    <w:rsid w:val="00F209B7"/>
    <w:rsid w:val="00F22DD5"/>
    <w:rsid w:val="00F23695"/>
    <w:rsid w:val="00F2376F"/>
    <w:rsid w:val="00F23A0E"/>
    <w:rsid w:val="00F243D8"/>
    <w:rsid w:val="00F30828"/>
    <w:rsid w:val="00F30DB6"/>
    <w:rsid w:val="00F313D6"/>
    <w:rsid w:val="00F37163"/>
    <w:rsid w:val="00F40CF3"/>
    <w:rsid w:val="00F40F0C"/>
    <w:rsid w:val="00F436AE"/>
    <w:rsid w:val="00F44799"/>
    <w:rsid w:val="00F4766C"/>
    <w:rsid w:val="00F478E8"/>
    <w:rsid w:val="00F507D1"/>
    <w:rsid w:val="00F519CE"/>
    <w:rsid w:val="00F51ADA"/>
    <w:rsid w:val="00F529FA"/>
    <w:rsid w:val="00F530E5"/>
    <w:rsid w:val="00F5411D"/>
    <w:rsid w:val="00F54860"/>
    <w:rsid w:val="00F571DA"/>
    <w:rsid w:val="00F607C5"/>
    <w:rsid w:val="00F60DEA"/>
    <w:rsid w:val="00F6302A"/>
    <w:rsid w:val="00F640C3"/>
    <w:rsid w:val="00F64C2B"/>
    <w:rsid w:val="00F651BE"/>
    <w:rsid w:val="00F6719E"/>
    <w:rsid w:val="00F67B62"/>
    <w:rsid w:val="00F67F53"/>
    <w:rsid w:val="00F703BE"/>
    <w:rsid w:val="00F71F69"/>
    <w:rsid w:val="00F72B72"/>
    <w:rsid w:val="00F74BB9"/>
    <w:rsid w:val="00F75582"/>
    <w:rsid w:val="00F76EFA"/>
    <w:rsid w:val="00F80014"/>
    <w:rsid w:val="00F804BE"/>
    <w:rsid w:val="00F817CE"/>
    <w:rsid w:val="00F82EED"/>
    <w:rsid w:val="00F8456C"/>
    <w:rsid w:val="00F85210"/>
    <w:rsid w:val="00F859D8"/>
    <w:rsid w:val="00F868F5"/>
    <w:rsid w:val="00F871C9"/>
    <w:rsid w:val="00F9056A"/>
    <w:rsid w:val="00F90F8D"/>
    <w:rsid w:val="00F915BD"/>
    <w:rsid w:val="00F91A96"/>
    <w:rsid w:val="00F92782"/>
    <w:rsid w:val="00F93AA9"/>
    <w:rsid w:val="00F968F3"/>
    <w:rsid w:val="00F96985"/>
    <w:rsid w:val="00F97838"/>
    <w:rsid w:val="00FA10CA"/>
    <w:rsid w:val="00FA2BB3"/>
    <w:rsid w:val="00FA44F8"/>
    <w:rsid w:val="00FA7A65"/>
    <w:rsid w:val="00FB4C80"/>
    <w:rsid w:val="00FB6A6A"/>
    <w:rsid w:val="00FC694B"/>
    <w:rsid w:val="00FC7429"/>
    <w:rsid w:val="00FD07F6"/>
    <w:rsid w:val="00FD1A00"/>
    <w:rsid w:val="00FD1EC8"/>
    <w:rsid w:val="00FD47ED"/>
    <w:rsid w:val="00FD512D"/>
    <w:rsid w:val="00FD5863"/>
    <w:rsid w:val="00FD7232"/>
    <w:rsid w:val="00FD74DB"/>
    <w:rsid w:val="00FD7660"/>
    <w:rsid w:val="00FE0655"/>
    <w:rsid w:val="00FE2365"/>
    <w:rsid w:val="00FE4C7B"/>
    <w:rsid w:val="00FE7336"/>
    <w:rsid w:val="00FE787C"/>
    <w:rsid w:val="00FF15BE"/>
    <w:rsid w:val="00FF45A5"/>
    <w:rsid w:val="00FF5C91"/>
    <w:rsid w:val="00FF695F"/>
    <w:rsid w:val="00FF7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aliases w:val="ref"/>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5557"/>
        <w:tab w:val="num" w:pos="1304"/>
        <w:tab w:val="left" w:pos="1701"/>
      </w:tabs>
      <w:ind w:left="1304"/>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3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styleId="ListNumber5">
    <w:name w:val="List Number 5"/>
    <w:basedOn w:val="Normal"/>
    <w:rsid w:val="004021FF"/>
    <w:pPr>
      <w:tabs>
        <w:tab w:val="num" w:pos="1492"/>
      </w:tabs>
      <w:overflowPunct/>
      <w:autoSpaceDE/>
      <w:autoSpaceDN/>
      <w:adjustRightInd/>
      <w:spacing w:after="0"/>
      <w:ind w:left="1492" w:hanging="360"/>
      <w:jc w:val="left"/>
      <w:textAlignment w:val="auto"/>
    </w:pPr>
    <w:rPr>
      <w:rFonts w:eastAsia="SimSun"/>
      <w:sz w:val="22"/>
      <w:lang w:eastAsia="en-US"/>
    </w:rPr>
  </w:style>
  <w:style w:type="character" w:customStyle="1" w:styleId="B-BodyChar">
    <w:name w:val="B-Body Char"/>
    <w:link w:val="B-Body"/>
    <w:uiPriority w:val="30"/>
    <w:locked/>
    <w:rsid w:val="00DA4E60"/>
    <w:rPr>
      <w:rFonts w:ascii="Times New Roman" w:hAnsi="Times New Roman"/>
      <w:sz w:val="22"/>
    </w:rPr>
  </w:style>
  <w:style w:type="paragraph" w:customStyle="1" w:styleId="B-Body">
    <w:name w:val="B-Body"/>
    <w:link w:val="B-BodyChar"/>
    <w:uiPriority w:val="30"/>
    <w:qFormat/>
    <w:rsid w:val="00DA4E60"/>
    <w:pPr>
      <w:tabs>
        <w:tab w:val="left" w:pos="2160"/>
      </w:tabs>
      <w:spacing w:before="120" w:after="40"/>
      <w:ind w:left="720"/>
    </w:pPr>
    <w:rPr>
      <w:rFonts w:ascii="Times New Roman" w:hAnsi="Times New Roman"/>
      <w:sz w:val="22"/>
    </w:rPr>
  </w:style>
  <w:style w:type="character" w:customStyle="1" w:styleId="CommentTextChar">
    <w:name w:val="Comment Text Char"/>
    <w:link w:val="CommentText"/>
    <w:uiPriority w:val="99"/>
    <w:semiHidden/>
    <w:rsid w:val="004408A8"/>
    <w:rPr>
      <w:rFonts w:ascii="Arial" w:hAnsi="Arial"/>
      <w:lang w:val="en-GB" w:eastAsia="zh-CN"/>
    </w:rPr>
  </w:style>
  <w:style w:type="character" w:customStyle="1" w:styleId="TFChar">
    <w:name w:val="TF Char"/>
    <w:basedOn w:val="DefaultParagraphFont"/>
    <w:link w:val="TF"/>
    <w:rsid w:val="00560866"/>
    <w:rPr>
      <w:rFonts w:ascii="Arial" w:hAnsi="Arial"/>
      <w:b/>
      <w:lang w:val="en-GB"/>
    </w:rPr>
  </w:style>
  <w:style w:type="character" w:customStyle="1" w:styleId="THChar">
    <w:name w:val="TH Char"/>
    <w:basedOn w:val="DefaultParagraphFont"/>
    <w:link w:val="TH"/>
    <w:rsid w:val="00560866"/>
    <w:rPr>
      <w:rFonts w:ascii="Arial" w:hAnsi="Arial"/>
      <w:b/>
      <w:lang w:val="en-GB"/>
    </w:rPr>
  </w:style>
  <w:style w:type="paragraph" w:customStyle="1" w:styleId="CRCoverPage">
    <w:name w:val="CR Cover Page"/>
    <w:link w:val="CRCoverPageZchn"/>
    <w:rsid w:val="009618AC"/>
    <w:pPr>
      <w:spacing w:after="120"/>
    </w:pPr>
    <w:rPr>
      <w:rFonts w:ascii="Arial" w:hAnsi="Arial"/>
      <w:lang w:val="en-GB"/>
    </w:rPr>
  </w:style>
  <w:style w:type="character" w:customStyle="1" w:styleId="CRCoverPageZchn">
    <w:name w:val="CR Cover Page Zchn"/>
    <w:link w:val="CRCoverPage"/>
    <w:locked/>
    <w:rsid w:val="009618A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12155020">
      <w:bodyDiv w:val="1"/>
      <w:marLeft w:val="0"/>
      <w:marRight w:val="0"/>
      <w:marTop w:val="0"/>
      <w:marBottom w:val="0"/>
      <w:divBdr>
        <w:top w:val="none" w:sz="0" w:space="0" w:color="auto"/>
        <w:left w:val="none" w:sz="0" w:space="0" w:color="auto"/>
        <w:bottom w:val="none" w:sz="0" w:space="0" w:color="auto"/>
        <w:right w:val="none" w:sz="0" w:space="0" w:color="auto"/>
      </w:divBdr>
    </w:div>
    <w:div w:id="12481518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417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5NUHHDQN7SK2-1476151046-22597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https://ericsson.sharepoint.com/sites/star/_layouts/15/DocIdRedir.aspx?ID=5NUHHDQN7SK2-1476151046-22597</Url>
      <Description>5NUHHDQN7SK2-1476151046-22597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458DA9-6182-4BB7-BD17-970E1D7EEF53}">
  <ds:schemaRefs>
    <ds:schemaRef ds:uri="http://schemas.microsoft.com/sharepoint/events"/>
  </ds:schemaRefs>
</ds:datastoreItem>
</file>

<file path=customXml/itemProps2.xml><?xml version="1.0" encoding="utf-8"?>
<ds:datastoreItem xmlns:ds="http://schemas.openxmlformats.org/officeDocument/2006/customXml" ds:itemID="{0FAE2EE2-157C-4C96-9B91-98628241D535}">
  <ds:schemaRefs>
    <ds:schemaRef ds:uri="Microsoft.SharePoint.Taxonomy.ContentTypeSync"/>
  </ds:schemaRefs>
</ds:datastoreItem>
</file>

<file path=customXml/itemProps3.xml><?xml version="1.0" encoding="utf-8"?>
<ds:datastoreItem xmlns:ds="http://schemas.openxmlformats.org/officeDocument/2006/customXml" ds:itemID="{D18F71D4-9D7E-4463-AE79-89D3E12FF86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EDD1AD4-97B7-46EF-A3F1-E581D157B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F0A7D3-7F89-42DF-B7FE-F9DE8D1C22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2119</TotalTime>
  <Pages>4</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Author</cp:lastModifiedBy>
  <cp:revision>659</cp:revision>
  <cp:lastPrinted>2008-01-31T16:09:00Z</cp:lastPrinted>
  <dcterms:created xsi:type="dcterms:W3CDTF">2018-01-23T15:21:00Z</dcterms:created>
  <dcterms:modified xsi:type="dcterms:W3CDTF">2018-05-11T06:09:00Z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a3037cae-2817-472e-a86b-80547fb42bc8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